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184" w:rsidRDefault="00733184" w:rsidP="00733184">
      <w:pPr>
        <w:pStyle w:val="NormalWeb"/>
        <w:jc w:val="both"/>
        <w:rPr>
          <w:b/>
          <w:bCs/>
          <w:sz w:val="28"/>
          <w:lang w:val="fr-CH"/>
        </w:rPr>
      </w:pPr>
      <w:r>
        <w:rPr>
          <w:b/>
          <w:bCs/>
          <w:sz w:val="28"/>
          <w:lang w:val="fr-CH"/>
        </w:rPr>
        <w:t xml:space="preserve">Creative </w:t>
      </w:r>
      <w:proofErr w:type="spellStart"/>
      <w:r>
        <w:rPr>
          <w:b/>
          <w:bCs/>
          <w:sz w:val="28"/>
          <w:lang w:val="fr-CH"/>
        </w:rPr>
        <w:t>project</w:t>
      </w:r>
      <w:proofErr w:type="spellEnd"/>
      <w:r>
        <w:rPr>
          <w:b/>
          <w:bCs/>
          <w:sz w:val="28"/>
          <w:lang w:val="fr-CH"/>
        </w:rPr>
        <w:t xml:space="preserve"> </w:t>
      </w:r>
      <w:proofErr w:type="spellStart"/>
      <w:proofErr w:type="gramStart"/>
      <w:r>
        <w:rPr>
          <w:b/>
          <w:bCs/>
          <w:sz w:val="28"/>
          <w:lang w:val="fr-CH"/>
        </w:rPr>
        <w:t>Three</w:t>
      </w:r>
      <w:proofErr w:type="spellEnd"/>
      <w:r>
        <w:rPr>
          <w:b/>
          <w:bCs/>
          <w:sz w:val="28"/>
          <w:lang w:val="fr-CH"/>
        </w:rPr>
        <w:t>:</w:t>
      </w:r>
      <w:proofErr w:type="gramEnd"/>
      <w:r>
        <w:rPr>
          <w:b/>
          <w:bCs/>
          <w:sz w:val="28"/>
          <w:lang w:val="fr-CH"/>
        </w:rPr>
        <w:t xml:space="preserve"> The Diamond Requiem by Kostas </w:t>
      </w:r>
      <w:proofErr w:type="spellStart"/>
      <w:r>
        <w:rPr>
          <w:b/>
          <w:bCs/>
          <w:sz w:val="28"/>
          <w:lang w:val="fr-CH"/>
        </w:rPr>
        <w:t>Metaxas</w:t>
      </w:r>
      <w:proofErr w:type="spellEnd"/>
    </w:p>
    <w:p w:rsidR="00733184" w:rsidRPr="00733184" w:rsidRDefault="00733184" w:rsidP="00733184">
      <w:pPr>
        <w:pStyle w:val="NormalWeb"/>
        <w:jc w:val="both"/>
        <w:rPr>
          <w:b/>
          <w:bCs/>
          <w:i/>
          <w:lang w:val="fr-CH"/>
        </w:rPr>
      </w:pPr>
      <w:proofErr w:type="spellStart"/>
      <w:r w:rsidRPr="00733184">
        <w:rPr>
          <w:b/>
          <w:bCs/>
          <w:i/>
          <w:lang w:val="fr-CH"/>
        </w:rPr>
        <w:t>Resident</w:t>
      </w:r>
      <w:proofErr w:type="spellEnd"/>
      <w:r w:rsidRPr="00733184">
        <w:rPr>
          <w:b/>
          <w:bCs/>
          <w:i/>
          <w:lang w:val="fr-CH"/>
        </w:rPr>
        <w:t xml:space="preserve"> designer : Kostas </w:t>
      </w:r>
      <w:proofErr w:type="spellStart"/>
      <w:r w:rsidRPr="00733184">
        <w:rPr>
          <w:b/>
          <w:bCs/>
          <w:i/>
          <w:lang w:val="fr-CH"/>
        </w:rPr>
        <w:t>Metaxas</w:t>
      </w:r>
      <w:proofErr w:type="spellEnd"/>
    </w:p>
    <w:p w:rsidR="00733184" w:rsidRDefault="00733184" w:rsidP="00733184">
      <w:pPr>
        <w:pStyle w:val="NormalWeb"/>
        <w:jc w:val="both"/>
        <w:rPr>
          <w:lang w:val="en-US"/>
        </w:rPr>
      </w:pPr>
      <w:r>
        <w:rPr>
          <w:rStyle w:val="lev"/>
          <w:lang w:val="en-GB"/>
        </w:rPr>
        <w:t>Requiem</w:t>
      </w:r>
      <w:r>
        <w:rPr>
          <w:lang w:val="en-GB"/>
        </w:rPr>
        <w:t xml:space="preserve"> is no ordinary table clock — it is a bold horological sculpture designed in partnership with Kostas Metaxas. </w:t>
      </w:r>
      <w:proofErr w:type="spellStart"/>
      <w:r>
        <w:rPr>
          <w:lang w:val="en-US"/>
        </w:rPr>
        <w:t>L’Epée</w:t>
      </w:r>
      <w:proofErr w:type="spellEnd"/>
      <w:r>
        <w:rPr>
          <w:lang w:val="en-US"/>
        </w:rPr>
        <w:t xml:space="preserve"> 1839 unveils a dazzling new edition of Requiem, distinguished by its teeth set with brilliant-cut diamonds. This bold detail transforms the skull into an audacious jewel-clock. More than an ornament, the diamond-set teeth magnify the symbolism of Memento Mori — a reminder of life’s fragility and the fleeting nature of time, expressed here through eternal stones. With this extraordinary edition, </w:t>
      </w:r>
      <w:proofErr w:type="spellStart"/>
      <w:r>
        <w:rPr>
          <w:lang w:val="en-US"/>
        </w:rPr>
        <w:t>L’Epée</w:t>
      </w:r>
      <w:proofErr w:type="spellEnd"/>
      <w:r>
        <w:rPr>
          <w:lang w:val="en-US"/>
        </w:rPr>
        <w:t xml:space="preserve"> 1839 pushes the boundaries of mechanical art once again, blending technical mastery with </w:t>
      </w:r>
      <w:proofErr w:type="spellStart"/>
      <w:proofErr w:type="gramStart"/>
      <w:r>
        <w:rPr>
          <w:lang w:val="en-US"/>
        </w:rPr>
        <w:t>a</w:t>
      </w:r>
      <w:proofErr w:type="spellEnd"/>
      <w:proofErr w:type="gramEnd"/>
      <w:r>
        <w:rPr>
          <w:lang w:val="en-US"/>
        </w:rPr>
        <w:t xml:space="preserve"> audacious artistic statement.</w:t>
      </w:r>
    </w:p>
    <w:p w:rsidR="00733184" w:rsidRDefault="00733184" w:rsidP="00733184">
      <w:pPr>
        <w:pStyle w:val="NormalWeb"/>
        <w:jc w:val="both"/>
        <w:rPr>
          <w:lang w:val="en-US"/>
        </w:rPr>
      </w:pPr>
      <w:r>
        <w:rPr>
          <w:lang w:val="en-US"/>
        </w:rPr>
        <w:t xml:space="preserve">Shaped like a human skull, it transforms the age-old artistic theme of </w:t>
      </w:r>
      <w:r>
        <w:rPr>
          <w:rStyle w:val="Accentuation"/>
          <w:lang w:val="en-US"/>
        </w:rPr>
        <w:t>Memento Mori</w:t>
      </w:r>
      <w:r>
        <w:rPr>
          <w:lang w:val="en-US"/>
        </w:rPr>
        <w:t xml:space="preserve"> into a striking fusion of art and mechanics. </w:t>
      </w:r>
      <w:r>
        <w:rPr>
          <w:rStyle w:val="Accentuation"/>
          <w:lang w:val="en-US"/>
        </w:rPr>
        <w:t>Memento Mori</w:t>
      </w:r>
      <w:r>
        <w:rPr>
          <w:lang w:val="en-US"/>
        </w:rPr>
        <w:t>, “Remember that you are going to die,” is both a reminder of humility and a confrontation with time itself.</w:t>
      </w:r>
    </w:p>
    <w:p w:rsidR="00733184" w:rsidRDefault="00733184" w:rsidP="00733184">
      <w:pPr>
        <w:pStyle w:val="NormalWeb"/>
        <w:jc w:val="both"/>
        <w:rPr>
          <w:lang w:val="en-US"/>
        </w:rPr>
      </w:pPr>
      <w:r>
        <w:rPr>
          <w:lang w:val="en-US"/>
        </w:rPr>
        <w:t xml:space="preserve">At the heart of the skull lies the new </w:t>
      </w:r>
      <w:r>
        <w:rPr>
          <w:rStyle w:val="lev"/>
          <w:lang w:val="en-US"/>
        </w:rPr>
        <w:t>in-house</w:t>
      </w:r>
      <w:r>
        <w:rPr>
          <w:lang w:val="en-US"/>
        </w:rPr>
        <w:t xml:space="preserve">, an 8-day movement that serves as the “brain,” encapsulated yet master of its destiny. Time is revealed in the most haunting way: </w:t>
      </w:r>
      <w:r>
        <w:rPr>
          <w:rStyle w:val="lev"/>
          <w:lang w:val="en-US"/>
        </w:rPr>
        <w:t>hours and minutes displayed on transparent discs embedded in the eye sockets</w:t>
      </w:r>
      <w:r>
        <w:rPr>
          <w:lang w:val="en-US"/>
        </w:rPr>
        <w:t>. To read the time, one must face the skull directly — to stare into its eyes and confront mortality.</w:t>
      </w:r>
    </w:p>
    <w:p w:rsidR="00733184" w:rsidRDefault="00733184" w:rsidP="00733184">
      <w:pPr>
        <w:pStyle w:val="NormalWeb"/>
        <w:jc w:val="both"/>
        <w:rPr>
          <w:lang w:val="en-US"/>
        </w:rPr>
      </w:pPr>
      <w:r>
        <w:rPr>
          <w:lang w:val="en-US"/>
        </w:rPr>
        <w:t xml:space="preserve">Every detail reinforces the symbolism. The protective skull allows only fleeting reflections of light to escape through its openings. Two </w:t>
      </w:r>
      <w:r>
        <w:rPr>
          <w:rStyle w:val="lev"/>
          <w:lang w:val="en-US"/>
        </w:rPr>
        <w:t>crossed swords</w:t>
      </w:r>
      <w:r>
        <w:rPr>
          <w:lang w:val="en-US"/>
        </w:rPr>
        <w:t xml:space="preserve"> — emblem of </w:t>
      </w:r>
      <w:proofErr w:type="spellStart"/>
      <w:r>
        <w:rPr>
          <w:lang w:val="en-US"/>
        </w:rPr>
        <w:t>L’Epée</w:t>
      </w:r>
      <w:proofErr w:type="spellEnd"/>
      <w:r>
        <w:rPr>
          <w:lang w:val="en-US"/>
        </w:rPr>
        <w:t xml:space="preserve"> 1839 — pierce the temples, revealing glimpses of the oscillating escapement, like a portal into another temporal dimension.</w:t>
      </w:r>
    </w:p>
    <w:p w:rsidR="00733184" w:rsidRDefault="00733184" w:rsidP="00733184">
      <w:pPr>
        <w:pStyle w:val="NormalWeb"/>
        <w:jc w:val="both"/>
        <w:rPr>
          <w:lang w:val="en-US"/>
        </w:rPr>
      </w:pPr>
      <w:r>
        <w:rPr>
          <w:lang w:val="en-US"/>
        </w:rPr>
        <w:t xml:space="preserve">Both graphic and technical, </w:t>
      </w:r>
      <w:r>
        <w:rPr>
          <w:rStyle w:val="lev"/>
          <w:lang w:val="en-US"/>
        </w:rPr>
        <w:t>Requiem</w:t>
      </w:r>
      <w:r>
        <w:rPr>
          <w:lang w:val="en-US"/>
        </w:rPr>
        <w:t xml:space="preserve"> is a kinetic reminder of the intimate bond between life and time — a work of mechanical art that dares you to look death in the eye to discover… the hour.</w:t>
      </w:r>
    </w:p>
    <w:p w:rsidR="00733184" w:rsidRDefault="00733184" w:rsidP="00733184">
      <w:pPr>
        <w:pStyle w:val="NormalWeb"/>
        <w:jc w:val="center"/>
        <w:rPr>
          <w:lang w:val="en-US"/>
        </w:rPr>
      </w:pPr>
      <w:r>
        <w:rPr>
          <w:noProof/>
          <w:lang w:val="en-US"/>
        </w:rPr>
        <w:drawing>
          <wp:inline distT="0" distB="0" distL="0" distR="0">
            <wp:extent cx="2571750" cy="32099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0" cy="3209925"/>
                    </a:xfrm>
                    <a:prstGeom prst="rect">
                      <a:avLst/>
                    </a:prstGeom>
                    <a:noFill/>
                    <a:ln>
                      <a:noFill/>
                    </a:ln>
                  </pic:spPr>
                </pic:pic>
              </a:graphicData>
            </a:graphic>
          </wp:inline>
        </w:drawing>
      </w:r>
      <w:r>
        <w:rPr>
          <w:lang w:val="en-US"/>
        </w:rPr>
        <w:t xml:space="preserve">  </w:t>
      </w:r>
      <w:r>
        <w:rPr>
          <w:noProof/>
          <w:lang w:val="en-US"/>
        </w:rPr>
        <w:drawing>
          <wp:inline distT="0" distB="0" distL="0" distR="0">
            <wp:extent cx="2562225" cy="32004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225" cy="3200400"/>
                    </a:xfrm>
                    <a:prstGeom prst="rect">
                      <a:avLst/>
                    </a:prstGeom>
                    <a:noFill/>
                    <a:ln>
                      <a:noFill/>
                    </a:ln>
                  </pic:spPr>
                </pic:pic>
              </a:graphicData>
            </a:graphic>
          </wp:inline>
        </w:drawing>
      </w:r>
    </w:p>
    <w:p w:rsidR="00733184" w:rsidRDefault="00733184" w:rsidP="00733184">
      <w:pPr>
        <w:jc w:val="both"/>
        <w:rPr>
          <w:rFonts w:ascii="Times New Roman" w:eastAsia="Times New Roman" w:hAnsi="Times New Roman" w:cs="Times New Roman"/>
          <w:b/>
          <w:sz w:val="24"/>
          <w:szCs w:val="24"/>
          <w:lang w:val="en-US" w:eastAsia="pl-PL"/>
        </w:rPr>
      </w:pPr>
    </w:p>
    <w:p w:rsidR="00733184" w:rsidRDefault="00733184" w:rsidP="00733184">
      <w:pPr>
        <w:jc w:val="both"/>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 xml:space="preserve">About Kostas </w:t>
      </w:r>
      <w:proofErr w:type="gramStart"/>
      <w:r>
        <w:rPr>
          <w:rFonts w:ascii="Times New Roman" w:eastAsia="Times New Roman" w:hAnsi="Times New Roman" w:cs="Times New Roman"/>
          <w:b/>
          <w:sz w:val="24"/>
          <w:szCs w:val="24"/>
          <w:lang w:val="en-US" w:eastAsia="pl-PL"/>
        </w:rPr>
        <w:t>Metaxas :</w:t>
      </w:r>
      <w:proofErr w:type="gramEnd"/>
      <w:r>
        <w:rPr>
          <w:rFonts w:ascii="Times New Roman" w:eastAsia="Times New Roman" w:hAnsi="Times New Roman" w:cs="Times New Roman"/>
          <w:b/>
          <w:sz w:val="24"/>
          <w:szCs w:val="24"/>
          <w:lang w:val="en-US" w:eastAsia="pl-PL"/>
        </w:rPr>
        <w:t xml:space="preserve"> </w:t>
      </w:r>
    </w:p>
    <w:p w:rsidR="00733184" w:rsidRDefault="00733184" w:rsidP="00733184">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“The clock is a fascinating object because you can play with what you hide and what you unveil.”</w:t>
      </w:r>
    </w:p>
    <w:p w:rsidR="00733184" w:rsidRDefault="00733184" w:rsidP="00733184">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Kostas Metaxas is a magazine editor, film producer, and art-technology enthusiast whose eclectic path has shaped a bold, unconventional design vision. An Australian of Greek heritage, he draws inspiration from his travels and his passion for music, channeling them into creations that merge art, design, and innovation.</w:t>
      </w:r>
    </w:p>
    <w:p w:rsidR="00733184" w:rsidRDefault="00733184" w:rsidP="00733184">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Self-taught and experimental, Metaxas explores new materials and collaborates with </w:t>
      </w: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1839’s R&amp;D team to push the limits of contemporary horology. For him, the sobriety of form mirrors the fascination of watch complications—an allegory of life’s fleeting and intricate nature.</w:t>
      </w:r>
    </w:p>
    <w:p w:rsidR="00733184" w:rsidRDefault="00733184" w:rsidP="00733184">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With </w:t>
      </w:r>
      <w:r>
        <w:rPr>
          <w:rFonts w:ascii="Times New Roman" w:eastAsia="Times New Roman" w:hAnsi="Times New Roman" w:cs="Times New Roman"/>
          <w:i/>
          <w:iCs/>
          <w:sz w:val="24"/>
          <w:szCs w:val="24"/>
          <w:lang w:val="en-US" w:eastAsia="pl-PL"/>
        </w:rPr>
        <w:t>Requiem</w:t>
      </w:r>
      <w:r>
        <w:rPr>
          <w:rFonts w:ascii="Times New Roman" w:eastAsia="Times New Roman" w:hAnsi="Times New Roman" w:cs="Times New Roman"/>
          <w:sz w:val="24"/>
          <w:szCs w:val="24"/>
          <w:lang w:val="en-US" w:eastAsia="pl-PL"/>
        </w:rPr>
        <w:t xml:space="preserve">, his sculpted skull encapsulates the fragile balance between time and happiness, birth and death. Light striking the movement reveals fleeting glints of gold and silver within its shadows—a powerful reminder to </w:t>
      </w:r>
      <w:r>
        <w:rPr>
          <w:rFonts w:ascii="Times New Roman" w:eastAsia="Times New Roman" w:hAnsi="Times New Roman" w:cs="Times New Roman"/>
          <w:i/>
          <w:iCs/>
          <w:sz w:val="24"/>
          <w:szCs w:val="24"/>
          <w:lang w:val="en-US" w:eastAsia="pl-PL"/>
        </w:rPr>
        <w:t>carpe diem</w:t>
      </w:r>
      <w:r>
        <w:rPr>
          <w:rFonts w:ascii="Times New Roman" w:eastAsia="Times New Roman" w:hAnsi="Times New Roman" w:cs="Times New Roman"/>
          <w:sz w:val="24"/>
          <w:szCs w:val="24"/>
          <w:lang w:val="en-US" w:eastAsia="pl-PL"/>
        </w:rPr>
        <w:t>.</w:t>
      </w:r>
    </w:p>
    <w:p w:rsidR="00733184" w:rsidRDefault="00733184" w:rsidP="00733184">
      <w:pPr>
        <w:spacing w:before="100" w:beforeAutospacing="1" w:after="100" w:afterAutospacing="1" w:line="240" w:lineRule="auto"/>
        <w:jc w:val="both"/>
        <w:rPr>
          <w:rFonts w:ascii="Times New Roman" w:eastAsia="Times New Roman" w:hAnsi="Times New Roman" w:cs="Times New Roman"/>
          <w:b/>
          <w:sz w:val="24"/>
          <w:szCs w:val="24"/>
          <w:lang w:val="fr-CH" w:eastAsia="pl-PL"/>
        </w:rPr>
      </w:pPr>
      <w:proofErr w:type="spellStart"/>
      <w:r>
        <w:rPr>
          <w:rFonts w:ascii="Times New Roman" w:eastAsia="Times New Roman" w:hAnsi="Times New Roman" w:cs="Times New Roman"/>
          <w:b/>
          <w:sz w:val="24"/>
          <w:szCs w:val="24"/>
          <w:lang w:val="fr-CH" w:eastAsia="pl-PL"/>
        </w:rPr>
        <w:t>Technical</w:t>
      </w:r>
      <w:proofErr w:type="spellEnd"/>
      <w:r>
        <w:rPr>
          <w:rFonts w:ascii="Times New Roman" w:eastAsia="Times New Roman" w:hAnsi="Times New Roman" w:cs="Times New Roman"/>
          <w:b/>
          <w:sz w:val="24"/>
          <w:szCs w:val="24"/>
          <w:lang w:val="fr-CH" w:eastAsia="pl-PL"/>
        </w:rPr>
        <w:t xml:space="preserve"> </w:t>
      </w:r>
      <w:proofErr w:type="spellStart"/>
      <w:r>
        <w:rPr>
          <w:rFonts w:ascii="Times New Roman" w:eastAsia="Times New Roman" w:hAnsi="Times New Roman" w:cs="Times New Roman"/>
          <w:b/>
          <w:sz w:val="24"/>
          <w:szCs w:val="24"/>
          <w:lang w:val="fr-CH" w:eastAsia="pl-PL"/>
        </w:rPr>
        <w:t>Specifications</w:t>
      </w:r>
      <w:proofErr w:type="spellEnd"/>
      <w:r>
        <w:rPr>
          <w:rFonts w:ascii="Times New Roman" w:eastAsia="Times New Roman" w:hAnsi="Times New Roman" w:cs="Times New Roman"/>
          <w:b/>
          <w:sz w:val="24"/>
          <w:szCs w:val="24"/>
          <w:lang w:val="fr-CH" w:eastAsia="pl-PL"/>
        </w:rPr>
        <w:t> :</w:t>
      </w:r>
    </w:p>
    <w:p w:rsidR="00733184" w:rsidRDefault="00733184" w:rsidP="0073318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Dimensions &amp; </w:t>
      </w:r>
      <w:proofErr w:type="gramStart"/>
      <w:r>
        <w:rPr>
          <w:rFonts w:ascii="Times New Roman" w:hAnsi="Times New Roman" w:cs="Times New Roman"/>
          <w:sz w:val="24"/>
          <w:szCs w:val="24"/>
          <w:lang w:val="en-US"/>
        </w:rPr>
        <w:t>Weight :</w:t>
      </w:r>
      <w:proofErr w:type="gramEnd"/>
      <w:r>
        <w:rPr>
          <w:rFonts w:ascii="Times New Roman" w:hAnsi="Times New Roman" w:cs="Times New Roman"/>
          <w:sz w:val="24"/>
          <w:szCs w:val="24"/>
          <w:lang w:val="en-US"/>
        </w:rPr>
        <w:t xml:space="preserve"> 19 cm high x 12 cm wide x 16 cm deep, 1.9 kg</w:t>
      </w:r>
    </w:p>
    <w:p w:rsidR="00733184" w:rsidRDefault="00733184" w:rsidP="00733184">
      <w:pPr>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Function: Hours, minutes</w:t>
      </w:r>
    </w:p>
    <w:p w:rsidR="00733184" w:rsidRDefault="00733184" w:rsidP="00733184">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hAnsi="Times New Roman" w:cs="Times New Roman"/>
          <w:sz w:val="24"/>
          <w:szCs w:val="24"/>
          <w:lang w:val="en-US"/>
        </w:rPr>
        <w:t>Movement:</w:t>
      </w:r>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1839 in-house movement, 8 day</w:t>
      </w:r>
    </w:p>
    <w:p w:rsidR="00733184" w:rsidRDefault="00733184" w:rsidP="0073318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Materials &amp; finishing: Machined cast aluminum, black lacquer, or raw aluminum, and colorless protective varnish, brilliant cut diamond </w:t>
      </w:r>
    </w:p>
    <w:p w:rsidR="00733184" w:rsidRDefault="00733184" w:rsidP="00733184">
      <w:pPr>
        <w:spacing w:before="100" w:beforeAutospacing="1" w:after="100" w:afterAutospacing="1" w:line="240" w:lineRule="auto"/>
        <w:jc w:val="both"/>
        <w:rPr>
          <w:rFonts w:ascii="Times New Roman" w:hAnsi="Times New Roman" w:cs="Times New Roman"/>
          <w:b/>
          <w:sz w:val="24"/>
          <w:szCs w:val="24"/>
          <w:lang w:val="en-US"/>
        </w:rPr>
      </w:pPr>
    </w:p>
    <w:p w:rsidR="00800827" w:rsidRPr="00733184" w:rsidRDefault="00733184" w:rsidP="00733184">
      <w:pPr>
        <w:jc w:val="both"/>
        <w:rPr>
          <w:rFonts w:ascii="Times New Roman" w:hAnsi="Times New Roman" w:cs="Times New Roman"/>
          <w:b/>
          <w:sz w:val="24"/>
          <w:szCs w:val="24"/>
          <w:lang w:val="en-US"/>
        </w:rPr>
      </w:pPr>
    </w:p>
    <w:sectPr w:rsidR="00800827" w:rsidRPr="00733184" w:rsidSect="007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184" w:rsidRDefault="00733184" w:rsidP="00733184">
      <w:pPr>
        <w:spacing w:after="0" w:line="240" w:lineRule="auto"/>
      </w:pPr>
      <w:r>
        <w:separator/>
      </w:r>
    </w:p>
  </w:endnote>
  <w:endnote w:type="continuationSeparator" w:id="0">
    <w:p w:rsidR="00733184" w:rsidRDefault="00733184" w:rsidP="0073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84" w:rsidRDefault="007331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84" w:rsidRDefault="00733184" w:rsidP="00733184">
    <w:pPr>
      <w:pStyle w:val="Sansinterligne"/>
      <w:rPr>
        <w:rFonts w:ascii="Arial" w:hAnsi="Arial" w:cs="Arial"/>
        <w:sz w:val="18"/>
        <w:szCs w:val="18"/>
        <w:lang w:val="en-US"/>
      </w:rPr>
    </w:pPr>
    <w:bookmarkStart w:id="0" w:name="_Hlk161746343"/>
    <w:r>
      <w:rPr>
        <w:rFonts w:ascii="Arial" w:hAnsi="Arial" w:cs="Arial"/>
        <w:sz w:val="18"/>
        <w:szCs w:val="18"/>
        <w:lang w:val="en-US"/>
      </w:rPr>
      <w:t xml:space="preserve">For further information, please contact </w:t>
    </w:r>
    <w:proofErr w:type="spellStart"/>
    <w:r>
      <w:rPr>
        <w:rFonts w:ascii="Arial" w:hAnsi="Arial" w:cs="Arial"/>
        <w:sz w:val="18"/>
        <w:szCs w:val="18"/>
        <w:lang w:val="en-US"/>
      </w:rPr>
      <w:t>Noëlle</w:t>
    </w:r>
    <w:proofErr w:type="spellEnd"/>
    <w:r>
      <w:rPr>
        <w:rFonts w:ascii="Arial" w:hAnsi="Arial" w:cs="Arial"/>
        <w:sz w:val="18"/>
        <w:szCs w:val="18"/>
        <w:lang w:val="en-US"/>
      </w:rPr>
      <w:t xml:space="preserve"> Wehrle </w:t>
    </w:r>
  </w:p>
  <w:p w:rsidR="00733184" w:rsidRDefault="00733184" w:rsidP="00733184">
    <w:pPr>
      <w:pStyle w:val="Sansinterligne"/>
      <w:rPr>
        <w:rFonts w:ascii="Arial" w:hAnsi="Arial" w:cs="Arial"/>
        <w:sz w:val="18"/>
        <w:szCs w:val="18"/>
        <w:lang w:val="en-US"/>
      </w:rPr>
    </w:pPr>
    <w:proofErr w:type="gramStart"/>
    <w:r>
      <w:rPr>
        <w:rFonts w:ascii="Arial" w:hAnsi="Arial" w:cs="Arial"/>
        <w:sz w:val="18"/>
        <w:szCs w:val="18"/>
        <w:lang w:val="en-US"/>
      </w:rPr>
      <w:t>noelle.wehrle@swiza.ch  +</w:t>
    </w:r>
    <w:proofErr w:type="gramEnd"/>
    <w:r>
      <w:rPr>
        <w:rFonts w:ascii="Arial" w:hAnsi="Arial" w:cs="Arial"/>
        <w:sz w:val="18"/>
        <w:szCs w:val="18"/>
        <w:lang w:val="en-US"/>
      </w:rPr>
      <w:t>41 (0)32 421 94 10</w:t>
    </w:r>
    <w:r>
      <w:rPr>
        <w:rFonts w:ascii="Arial" w:hAnsi="Arial" w:cs="Arial"/>
        <w:sz w:val="18"/>
        <w:szCs w:val="18"/>
        <w:lang w:val="en-US"/>
      </w:rPr>
      <w:br/>
    </w:r>
    <w:proofErr w:type="spellStart"/>
    <w:r>
      <w:rPr>
        <w:rFonts w:ascii="Arial" w:hAnsi="Arial" w:cs="Arial"/>
        <w:sz w:val="18"/>
        <w:szCs w:val="18"/>
        <w:lang w:val="en-US"/>
      </w:rPr>
      <w:t>L’Epée</w:t>
    </w:r>
    <w:proofErr w:type="spellEnd"/>
    <w:r>
      <w:rPr>
        <w:rFonts w:ascii="Arial" w:hAnsi="Arial" w:cs="Arial"/>
        <w:sz w:val="18"/>
        <w:szCs w:val="18"/>
        <w:lang w:val="en-US"/>
      </w:rPr>
      <w:t xml:space="preserve"> 1839, Brand of SWIZA SA Manufacture, rue St-Maurice 1, 2800 </w:t>
    </w:r>
    <w:proofErr w:type="spellStart"/>
    <w:r>
      <w:rPr>
        <w:rFonts w:ascii="Arial" w:hAnsi="Arial" w:cs="Arial"/>
        <w:sz w:val="18"/>
        <w:szCs w:val="18"/>
        <w:lang w:val="en-US"/>
      </w:rPr>
      <w:t>Delémont</w:t>
    </w:r>
    <w:proofErr w:type="spellEnd"/>
    <w:r>
      <w:rPr>
        <w:rFonts w:ascii="Arial" w:hAnsi="Arial" w:cs="Arial"/>
        <w:sz w:val="18"/>
        <w:szCs w:val="18"/>
        <w:lang w:val="en-US"/>
      </w:rPr>
      <w:t>, Switzerland</w:t>
    </w:r>
    <w:bookmarkEnd w:id="0"/>
  </w:p>
  <w:p w:rsidR="00733184" w:rsidRPr="00733184" w:rsidRDefault="00733184">
    <w:pPr>
      <w:pStyle w:val="Pieddepage"/>
      <w:rPr>
        <w:lang w:val="en-US"/>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84" w:rsidRDefault="007331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184" w:rsidRDefault="00733184" w:rsidP="00733184">
      <w:pPr>
        <w:spacing w:after="0" w:line="240" w:lineRule="auto"/>
      </w:pPr>
      <w:r>
        <w:separator/>
      </w:r>
    </w:p>
  </w:footnote>
  <w:footnote w:type="continuationSeparator" w:id="0">
    <w:p w:rsidR="00733184" w:rsidRDefault="00733184" w:rsidP="0073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84" w:rsidRDefault="007331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84" w:rsidRDefault="00733184" w:rsidP="00733184">
    <w:pPr>
      <w:pStyle w:val="En-tte"/>
      <w:jc w:val="center"/>
    </w:pPr>
    <w:r>
      <w:rPr>
        <w:noProof/>
      </w:rPr>
      <w:drawing>
        <wp:inline distT="0" distB="0" distL="0" distR="0" wp14:anchorId="0B1F8F95" wp14:editId="54D40F49">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84" w:rsidRDefault="0073318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84"/>
    <w:rsid w:val="00733184"/>
    <w:rsid w:val="007E6609"/>
    <w:rsid w:val="00B63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3E01"/>
  <w15:chartTrackingRefBased/>
  <w15:docId w15:val="{CD572C72-9D8A-4012-A9B8-D708948D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184"/>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3318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lev">
    <w:name w:val="Strong"/>
    <w:basedOn w:val="Policepardfaut"/>
    <w:uiPriority w:val="22"/>
    <w:qFormat/>
    <w:rsid w:val="00733184"/>
    <w:rPr>
      <w:b/>
      <w:bCs/>
    </w:rPr>
  </w:style>
  <w:style w:type="character" w:styleId="Accentuation">
    <w:name w:val="Emphasis"/>
    <w:basedOn w:val="Policepardfaut"/>
    <w:uiPriority w:val="20"/>
    <w:qFormat/>
    <w:rsid w:val="00733184"/>
    <w:rPr>
      <w:i/>
      <w:iCs/>
    </w:rPr>
  </w:style>
  <w:style w:type="paragraph" w:styleId="En-tte">
    <w:name w:val="header"/>
    <w:basedOn w:val="Normal"/>
    <w:link w:val="En-tteCar"/>
    <w:uiPriority w:val="99"/>
    <w:unhideWhenUsed/>
    <w:rsid w:val="00733184"/>
    <w:pPr>
      <w:tabs>
        <w:tab w:val="center" w:pos="4536"/>
        <w:tab w:val="right" w:pos="9072"/>
      </w:tabs>
      <w:spacing w:after="0" w:line="240" w:lineRule="auto"/>
    </w:pPr>
  </w:style>
  <w:style w:type="character" w:customStyle="1" w:styleId="En-tteCar">
    <w:name w:val="En-tête Car"/>
    <w:basedOn w:val="Policepardfaut"/>
    <w:link w:val="En-tte"/>
    <w:uiPriority w:val="99"/>
    <w:rsid w:val="00733184"/>
  </w:style>
  <w:style w:type="paragraph" w:styleId="Pieddepage">
    <w:name w:val="footer"/>
    <w:basedOn w:val="Normal"/>
    <w:link w:val="PieddepageCar"/>
    <w:uiPriority w:val="99"/>
    <w:unhideWhenUsed/>
    <w:rsid w:val="007331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3184"/>
  </w:style>
  <w:style w:type="paragraph" w:styleId="Sansinterligne">
    <w:name w:val="No Spacing"/>
    <w:uiPriority w:val="99"/>
    <w:qFormat/>
    <w:rsid w:val="00733184"/>
    <w:pPr>
      <w:spacing w:after="0" w:line="240" w:lineRule="auto"/>
    </w:pPr>
    <w:rPr>
      <w:rFonts w:ascii="Calibri" w:eastAsia="Calibri" w:hAnsi="Calibri"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1</cp:revision>
  <dcterms:created xsi:type="dcterms:W3CDTF">2025-09-15T13:17:00Z</dcterms:created>
  <dcterms:modified xsi:type="dcterms:W3CDTF">2025-09-15T13:19:00Z</dcterms:modified>
</cp:coreProperties>
</file>