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C53" w:rsidRPr="009134CD" w:rsidRDefault="00CE17D4" w:rsidP="009134CD">
      <w:pPr>
        <w:spacing w:after="0"/>
        <w:jc w:val="center"/>
        <w:rPr>
          <w:rFonts w:ascii="Arial" w:hAnsi="Arial" w:cs="Arial"/>
          <w:b/>
          <w:sz w:val="32"/>
          <w:szCs w:val="22"/>
          <w:lang w:val="en-GB"/>
        </w:rPr>
      </w:pPr>
      <w:r w:rsidRPr="009134CD">
        <w:rPr>
          <w:rFonts w:ascii="Arial" w:hAnsi="Arial" w:cs="Arial"/>
          <w:b/>
          <w:bCs/>
          <w:sz w:val="32"/>
          <w:szCs w:val="22"/>
          <w:lang w:val="it-IT"/>
        </w:rPr>
        <w:t>T-REX</w:t>
      </w:r>
    </w:p>
    <w:p w:rsidR="00F5565F" w:rsidRPr="009134CD" w:rsidRDefault="00CE17D4" w:rsidP="009134CD">
      <w:pPr>
        <w:spacing w:after="0"/>
        <w:jc w:val="center"/>
        <w:rPr>
          <w:rFonts w:ascii="Arial" w:hAnsi="Arial" w:cs="Arial"/>
          <w:b/>
          <w:sz w:val="32"/>
          <w:szCs w:val="22"/>
          <w:lang w:val="en-GB"/>
        </w:rPr>
      </w:pPr>
      <w:r w:rsidRPr="009134CD">
        <w:rPr>
          <w:rFonts w:ascii="Arial" w:hAnsi="Arial" w:cs="Arial"/>
          <w:b/>
          <w:bCs/>
          <w:sz w:val="32"/>
          <w:szCs w:val="22"/>
          <w:lang w:val="it-IT"/>
        </w:rPr>
        <w:t>MB&amp;F + L’EPEE 1839</w:t>
      </w:r>
    </w:p>
    <w:p w:rsidR="00D22C53" w:rsidRPr="009134CD" w:rsidRDefault="00D22C53" w:rsidP="009134CD">
      <w:pPr>
        <w:spacing w:after="0"/>
        <w:jc w:val="both"/>
        <w:rPr>
          <w:rFonts w:ascii="Arial" w:hAnsi="Arial" w:cs="Arial"/>
          <w:sz w:val="32"/>
          <w:szCs w:val="22"/>
          <w:lang w:val="en-GB"/>
        </w:rPr>
      </w:pPr>
    </w:p>
    <w:p w:rsidR="00D22C53" w:rsidRPr="009134CD" w:rsidRDefault="00CE17D4" w:rsidP="009134CD">
      <w:pPr>
        <w:spacing w:after="0"/>
        <w:jc w:val="both"/>
        <w:rPr>
          <w:rFonts w:ascii="Arial" w:hAnsi="Arial" w:cs="Arial"/>
          <w:b/>
          <w:sz w:val="22"/>
          <w:szCs w:val="22"/>
          <w:lang w:val="en-GB"/>
        </w:rPr>
      </w:pPr>
      <w:r w:rsidRPr="009134CD">
        <w:rPr>
          <w:rFonts w:ascii="Arial" w:hAnsi="Arial" w:cs="Arial"/>
          <w:b/>
          <w:bCs/>
          <w:sz w:val="22"/>
          <w:szCs w:val="22"/>
          <w:lang w:val="it-IT"/>
        </w:rPr>
        <w:t>Jurassic art</w:t>
      </w:r>
    </w:p>
    <w:p w:rsidR="00F5565F" w:rsidRPr="009134CD" w:rsidRDefault="00F5565F" w:rsidP="009134CD">
      <w:pPr>
        <w:spacing w:after="0"/>
        <w:jc w:val="both"/>
        <w:rPr>
          <w:rFonts w:ascii="Arial" w:hAnsi="Arial" w:cs="Arial"/>
          <w:b/>
          <w:sz w:val="22"/>
          <w:szCs w:val="22"/>
          <w:lang w:val="en-GB"/>
        </w:rPr>
      </w:pPr>
    </w:p>
    <w:p w:rsidR="002C1CAB" w:rsidRPr="009134CD" w:rsidRDefault="00CE17D4" w:rsidP="009134CD">
      <w:pPr>
        <w:spacing w:after="0"/>
        <w:jc w:val="both"/>
        <w:rPr>
          <w:rFonts w:ascii="Arial" w:hAnsi="Arial" w:cs="Arial"/>
          <w:sz w:val="22"/>
          <w:szCs w:val="22"/>
          <w:lang w:val="it-IT"/>
        </w:rPr>
      </w:pPr>
      <w:r w:rsidRPr="009134CD">
        <w:rPr>
          <w:rFonts w:ascii="Arial" w:hAnsi="Arial" w:cs="Arial"/>
          <w:sz w:val="22"/>
          <w:szCs w:val="22"/>
          <w:lang w:val="it-IT"/>
        </w:rPr>
        <w:t>Si dice che l’arte genera arte; che l’atto creativo, a sua volta, continua a generare e ispirare altre creazioni. Questo è senz’altro vero nel caso di T-Rex, l’11</w:t>
      </w:r>
      <w:r w:rsidRPr="009134CD">
        <w:rPr>
          <w:rFonts w:ascii="Arial" w:hAnsi="Arial" w:cs="Arial"/>
          <w:sz w:val="22"/>
          <w:szCs w:val="22"/>
          <w:vertAlign w:val="superscript"/>
          <w:lang w:val="it-IT"/>
        </w:rPr>
        <w:t>a</w:t>
      </w:r>
      <w:r w:rsidRPr="009134CD">
        <w:rPr>
          <w:rFonts w:ascii="Arial" w:hAnsi="Arial" w:cs="Arial"/>
          <w:sz w:val="22"/>
          <w:szCs w:val="22"/>
          <w:lang w:val="it-IT"/>
        </w:rPr>
        <w:t xml:space="preserve"> collaborazione tra MB&amp;F e lo specialista svizzero dell’orologeria di alta gamma L’Épée 1839. </w:t>
      </w:r>
    </w:p>
    <w:p w:rsidR="00F5565F" w:rsidRPr="009134CD" w:rsidRDefault="00F5565F" w:rsidP="009134CD">
      <w:pPr>
        <w:spacing w:after="0"/>
        <w:jc w:val="both"/>
        <w:rPr>
          <w:rFonts w:ascii="Arial" w:hAnsi="Arial" w:cs="Arial"/>
          <w:sz w:val="22"/>
          <w:szCs w:val="22"/>
          <w:lang w:val="it-IT"/>
        </w:rPr>
      </w:pPr>
    </w:p>
    <w:p w:rsidR="00F86E8F" w:rsidRPr="009134CD" w:rsidRDefault="00CE17D4" w:rsidP="009134CD">
      <w:pPr>
        <w:spacing w:after="0"/>
        <w:jc w:val="both"/>
        <w:rPr>
          <w:rFonts w:ascii="Arial" w:hAnsi="Arial" w:cs="Arial"/>
          <w:sz w:val="22"/>
          <w:szCs w:val="22"/>
          <w:lang w:val="it-IT"/>
        </w:rPr>
      </w:pPr>
      <w:r w:rsidRPr="009134CD">
        <w:rPr>
          <w:rFonts w:ascii="Arial" w:hAnsi="Arial" w:cs="Arial"/>
          <w:sz w:val="22"/>
          <w:szCs w:val="22"/>
          <w:lang w:val="it-IT"/>
        </w:rPr>
        <w:t xml:space="preserve">Un quadrante minimalista in vetro di Murano e acciaio, sospeso tra due gambe articolate che terminano con piedi artigliati: T-Rex ha una vaga somiglianza fisica con l’eponimo re dei dinosauri. Il segnatempo deve maggiormente il suo nome agli aspetti del design che si svelano all’osservatore attento, come per esempio la confluenza di potere e carattere che emanano gli arti in tensione. Un'autentica capsula temporale formata da una struttura sferica, scheletrata fa allusione in modo subliminale e persistente alle ossa fossilizzate, che contengono ciò che sappiamo di una data era preistorica. </w:t>
      </w:r>
    </w:p>
    <w:p w:rsidR="00F5565F" w:rsidRPr="009134CD" w:rsidRDefault="00F5565F" w:rsidP="009134CD">
      <w:pPr>
        <w:spacing w:after="0"/>
        <w:jc w:val="both"/>
        <w:rPr>
          <w:rFonts w:ascii="Arial" w:hAnsi="Arial" w:cs="Arial"/>
          <w:sz w:val="22"/>
          <w:szCs w:val="22"/>
          <w:lang w:val="it-IT"/>
        </w:rPr>
      </w:pPr>
    </w:p>
    <w:p w:rsidR="002C1CAB" w:rsidRPr="009134CD" w:rsidRDefault="00CE17D4" w:rsidP="009134CD">
      <w:pPr>
        <w:spacing w:after="0"/>
        <w:jc w:val="both"/>
        <w:rPr>
          <w:rFonts w:ascii="Arial" w:hAnsi="Arial" w:cs="Arial"/>
          <w:sz w:val="22"/>
          <w:szCs w:val="22"/>
          <w:lang w:val="it-IT"/>
        </w:rPr>
      </w:pPr>
      <w:r w:rsidRPr="009134CD">
        <w:rPr>
          <w:rFonts w:ascii="Arial" w:hAnsi="Arial" w:cs="Arial"/>
          <w:sz w:val="22"/>
          <w:szCs w:val="22"/>
          <w:lang w:val="it-IT"/>
        </w:rPr>
        <w:t>Due sottili lancette in acciaio si inarcano dal centro del quadrante in vetro di Murano verso l'esterno, indicando le ore e i minuti. Dietro il quadrante è presente un movimento di 138 componenti realizzato da L’Épée 1839, al di sopra del quale si trova il bilanciere che batte a una velocità di 2.5 Hz (18,000 alt/ora). L’orologio è caricato con una chiave sul retro del movimento per una riserva di carica massima di otto giorni, mentre l’impostazione dell’ora al centro del quadrante è effettuata con la stessa chiave.</w:t>
      </w:r>
    </w:p>
    <w:p w:rsidR="00F5565F" w:rsidRPr="009134CD" w:rsidRDefault="00F5565F" w:rsidP="009134CD">
      <w:pPr>
        <w:spacing w:after="0"/>
        <w:jc w:val="both"/>
        <w:rPr>
          <w:rFonts w:ascii="Arial" w:hAnsi="Arial" w:cs="Arial"/>
          <w:sz w:val="22"/>
          <w:szCs w:val="22"/>
          <w:lang w:val="it-IT"/>
        </w:rPr>
      </w:pPr>
    </w:p>
    <w:p w:rsidR="00B839B3" w:rsidRPr="009134CD" w:rsidRDefault="00CE17D4" w:rsidP="009134CD">
      <w:pPr>
        <w:spacing w:after="0"/>
        <w:jc w:val="both"/>
        <w:rPr>
          <w:rFonts w:ascii="Arial" w:hAnsi="Arial" w:cs="Arial"/>
          <w:sz w:val="22"/>
          <w:szCs w:val="22"/>
          <w:lang w:val="it-IT"/>
        </w:rPr>
      </w:pPr>
      <w:r w:rsidRPr="009134CD">
        <w:rPr>
          <w:rFonts w:ascii="Arial" w:hAnsi="Arial" w:cs="Arial"/>
          <w:sz w:val="22"/>
          <w:szCs w:val="22"/>
          <w:lang w:val="it-IT"/>
        </w:rPr>
        <w:t>T-Rex è stato presentato per la prima volta al pubblico all’inizio di quest’anno come un segnatempo unico specialmente pensato per Only Watch, la più prestigiosa asta benefica di orologi di lusso al mondo. Nelle edizioni passate, i contributi di MB&amp;F a Only Watch appartenevano a collezione già esistenti. Tom &amp; T-Rex, la creazione MB&amp;F per l’ottava edizione dell’asta, rompe con la tradizione in quanto precede la collezione alla quale appartiene. La differenza sta nel nome: Tom &amp; T-Rex presenta un cavallerizzo che incarna i bambini affetti dalla distrofia muscolare di Duchenne a cui andranno i fondi raccolti dalla Only Watch.</w:t>
      </w:r>
    </w:p>
    <w:p w:rsidR="00F5565F" w:rsidRPr="009134CD" w:rsidRDefault="00F5565F" w:rsidP="009134CD">
      <w:pPr>
        <w:spacing w:after="0"/>
        <w:jc w:val="both"/>
        <w:rPr>
          <w:rFonts w:ascii="Arial" w:hAnsi="Arial" w:cs="Arial"/>
          <w:sz w:val="22"/>
          <w:szCs w:val="22"/>
          <w:lang w:val="it-IT"/>
        </w:rPr>
      </w:pPr>
    </w:p>
    <w:p w:rsidR="00E82B85" w:rsidRPr="009134CD" w:rsidRDefault="00CE17D4" w:rsidP="009134CD">
      <w:pPr>
        <w:spacing w:after="0"/>
        <w:jc w:val="both"/>
        <w:rPr>
          <w:rFonts w:ascii="Arial" w:hAnsi="Arial" w:cs="Arial"/>
          <w:sz w:val="22"/>
          <w:szCs w:val="22"/>
          <w:lang w:val="fr-CH"/>
        </w:rPr>
      </w:pPr>
      <w:r w:rsidRPr="009134CD">
        <w:rPr>
          <w:rFonts w:ascii="Arial" w:hAnsi="Arial" w:cs="Arial"/>
          <w:sz w:val="22"/>
          <w:szCs w:val="22"/>
          <w:lang w:val="it-IT"/>
        </w:rPr>
        <w:t>Tramite l’iterazione Only Watch, T-Rex ha dimostrato di essere perfettamente capace di rinascere. Se volgiamo uno sguardo al passato, la sua origine risiede in un oggetto d’arte che si trova sulla scrivania del fondatore di MB&amp;F Maximilian Büsser, una stravagante combinazione di una scintillante palla di Natale montata su estremità in metallo a forma di zampe di uccello. Quando arrivò il momento di creare la Co-Creazione che sarebbe diventata il T-Rex, Büsser and il designer Maximilian Maertens furono d’accordo nell’ispirarsi a questo oggetto. In qualche modo, questo mix di elementi organici e inorganici stranamente provocatorio si è incubato nella mente di Maertens diventando sempre più grande, più forte, più fantastico... più MB&amp;F!</w:t>
      </w:r>
    </w:p>
    <w:p w:rsidR="00F5565F" w:rsidRPr="009134CD" w:rsidRDefault="00F5565F" w:rsidP="009134CD">
      <w:pPr>
        <w:spacing w:after="0"/>
        <w:jc w:val="both"/>
        <w:rPr>
          <w:rFonts w:ascii="Arial" w:hAnsi="Arial" w:cs="Arial"/>
          <w:sz w:val="22"/>
          <w:szCs w:val="22"/>
          <w:lang w:val="fr-CH"/>
        </w:rPr>
      </w:pPr>
    </w:p>
    <w:p w:rsidR="00072B68" w:rsidRPr="009134CD" w:rsidRDefault="00CE17D4" w:rsidP="009134CD">
      <w:pPr>
        <w:spacing w:after="0"/>
        <w:jc w:val="both"/>
        <w:rPr>
          <w:rFonts w:ascii="Arial" w:hAnsi="Arial" w:cs="Arial"/>
          <w:sz w:val="22"/>
          <w:szCs w:val="22"/>
          <w:lang w:val="fr-CH"/>
        </w:rPr>
      </w:pPr>
      <w:r w:rsidRPr="009134CD">
        <w:rPr>
          <w:rFonts w:ascii="Arial" w:hAnsi="Arial" w:cs="Arial"/>
          <w:sz w:val="22"/>
          <w:szCs w:val="22"/>
          <w:lang w:val="it-IT"/>
        </w:rPr>
        <w:t xml:space="preserve">Le gambe del T-Rex sono modellate direttamente sulle vere ossa di un Tyrannosaurus Rex, facendo riferimento a scansioni 3D di scheletri di dinosauri fossilizzati per creare un design finale il più verosimile possibile. L’alternanza tra segmenti sabbiati e lucidati permette alla luce di interagire con le gambe affinché il T-Rex sembri agile e flessibile nei movimenti, nonostante l’orologio in sé pesi circa 2 kg in totale e le articolazioni siano fissate in posizione per una maggiore stabilità. </w:t>
      </w:r>
    </w:p>
    <w:p w:rsidR="00F5565F" w:rsidRDefault="00F5565F" w:rsidP="009134CD">
      <w:pPr>
        <w:spacing w:after="0"/>
        <w:jc w:val="both"/>
        <w:rPr>
          <w:rFonts w:ascii="Arial" w:hAnsi="Arial" w:cs="Arial"/>
          <w:sz w:val="22"/>
          <w:szCs w:val="22"/>
          <w:lang w:val="fr-CH"/>
        </w:rPr>
      </w:pPr>
    </w:p>
    <w:p w:rsidR="009134CD" w:rsidRDefault="009134CD" w:rsidP="009134CD">
      <w:pPr>
        <w:spacing w:after="0"/>
        <w:jc w:val="both"/>
        <w:rPr>
          <w:rFonts w:ascii="Arial" w:hAnsi="Arial" w:cs="Arial"/>
          <w:sz w:val="22"/>
          <w:szCs w:val="22"/>
          <w:lang w:val="fr-CH"/>
        </w:rPr>
      </w:pPr>
    </w:p>
    <w:p w:rsidR="009134CD" w:rsidRPr="009134CD" w:rsidRDefault="009134CD" w:rsidP="009134CD">
      <w:pPr>
        <w:spacing w:after="0"/>
        <w:jc w:val="both"/>
        <w:rPr>
          <w:rFonts w:ascii="Arial" w:hAnsi="Arial" w:cs="Arial"/>
          <w:sz w:val="22"/>
          <w:szCs w:val="22"/>
          <w:lang w:val="fr-CH"/>
        </w:rPr>
      </w:pPr>
    </w:p>
    <w:p w:rsidR="00F86E8F" w:rsidRPr="009134CD" w:rsidRDefault="00CE17D4" w:rsidP="009134CD">
      <w:pPr>
        <w:spacing w:after="0"/>
        <w:jc w:val="both"/>
        <w:rPr>
          <w:rFonts w:ascii="Arial" w:hAnsi="Arial" w:cs="Arial"/>
          <w:sz w:val="22"/>
          <w:szCs w:val="22"/>
          <w:lang w:val="fr-CH"/>
        </w:rPr>
      </w:pPr>
      <w:r w:rsidRPr="009134CD">
        <w:rPr>
          <w:rFonts w:ascii="Arial" w:hAnsi="Arial" w:cs="Arial"/>
          <w:sz w:val="22"/>
          <w:szCs w:val="22"/>
          <w:lang w:val="it-IT"/>
        </w:rPr>
        <w:lastRenderedPageBreak/>
        <w:t xml:space="preserve">Coloro che hanno una propensione alle metafore vedranno una specie di </w:t>
      </w:r>
      <w:r w:rsidRPr="009134CD">
        <w:rPr>
          <w:rFonts w:ascii="Arial" w:hAnsi="Arial" w:cs="Arial"/>
          <w:i/>
          <w:iCs/>
          <w:sz w:val="22"/>
          <w:szCs w:val="22"/>
          <w:lang w:val="it-IT"/>
        </w:rPr>
        <w:t>memento mori</w:t>
      </w:r>
      <w:r w:rsidRPr="009134CD">
        <w:rPr>
          <w:rFonts w:ascii="Arial" w:hAnsi="Arial" w:cs="Arial"/>
          <w:sz w:val="22"/>
          <w:szCs w:val="22"/>
          <w:lang w:val="it-IT"/>
        </w:rPr>
        <w:t xml:space="preserve"> nel T-Rex, e non solo nella sua invocazione di un animale estinto milioni di anni fa. T-Rex è un orologio con le gambe (gambe che sembrano, d’altronde, piuttosto veloci) che ci mette in guardia sulla volatilità del tempo. Meglio non rimandare a domani ciò che puoi fare oggi. Vivi la vita, crea l’arte.</w:t>
      </w:r>
    </w:p>
    <w:p w:rsidR="00F5565F" w:rsidRPr="009134CD" w:rsidRDefault="00F5565F" w:rsidP="009134CD">
      <w:pPr>
        <w:spacing w:after="0"/>
        <w:jc w:val="both"/>
        <w:rPr>
          <w:rFonts w:ascii="Arial" w:hAnsi="Arial" w:cs="Arial"/>
          <w:sz w:val="22"/>
          <w:szCs w:val="22"/>
          <w:lang w:val="fr-CH"/>
        </w:rPr>
      </w:pPr>
    </w:p>
    <w:p w:rsidR="009134CD" w:rsidRPr="009134CD" w:rsidRDefault="009134CD" w:rsidP="009134CD">
      <w:pPr>
        <w:spacing w:after="0"/>
        <w:jc w:val="both"/>
        <w:rPr>
          <w:rFonts w:ascii="Arial" w:hAnsi="Arial" w:cs="Arial"/>
          <w:b/>
          <w:bCs/>
          <w:sz w:val="22"/>
          <w:szCs w:val="22"/>
          <w:lang w:val="fr-CH"/>
        </w:rPr>
      </w:pPr>
      <w:r w:rsidRPr="009134CD">
        <w:rPr>
          <w:rFonts w:ascii="Arial" w:hAnsi="Arial" w:cs="Arial"/>
          <w:b/>
          <w:bCs/>
          <w:sz w:val="22"/>
          <w:szCs w:val="22"/>
          <w:lang w:val="it-IT"/>
        </w:rPr>
        <w:t>Il T-Rex è disponibile in tre edizioni limitate di 100 esemplari ciascuna, con quadranti in vetro di Murano verde, profondo blu o rosso.</w:t>
      </w:r>
    </w:p>
    <w:p w:rsidR="003F3E02" w:rsidRPr="009134CD" w:rsidRDefault="003F3E02" w:rsidP="009134CD">
      <w:pPr>
        <w:spacing w:after="0"/>
        <w:jc w:val="both"/>
        <w:rPr>
          <w:rFonts w:ascii="Arial" w:hAnsi="Arial" w:cs="Arial"/>
          <w:b/>
          <w:bCs/>
          <w:sz w:val="22"/>
          <w:szCs w:val="22"/>
          <w:lang w:val="fr-CH"/>
        </w:rPr>
      </w:pPr>
    </w:p>
    <w:p w:rsidR="003F3E02" w:rsidRPr="009134CD" w:rsidRDefault="003F3E02" w:rsidP="009134CD">
      <w:pPr>
        <w:spacing w:after="0"/>
        <w:jc w:val="both"/>
        <w:rPr>
          <w:rFonts w:ascii="Arial" w:hAnsi="Arial" w:cs="Arial"/>
          <w:b/>
          <w:sz w:val="22"/>
          <w:szCs w:val="22"/>
          <w:lang w:val="fr-CH"/>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9134CD" w:rsidRDefault="009134CD" w:rsidP="009134CD">
      <w:pPr>
        <w:spacing w:after="0"/>
        <w:jc w:val="both"/>
        <w:rPr>
          <w:rFonts w:ascii="Arial" w:hAnsi="Arial" w:cs="Arial"/>
          <w:b/>
          <w:bCs/>
          <w:sz w:val="22"/>
          <w:szCs w:val="22"/>
          <w:lang w:val="it-IT"/>
        </w:rPr>
      </w:pPr>
    </w:p>
    <w:p w:rsidR="00FA3EE1" w:rsidRPr="005C7025" w:rsidRDefault="00CE17D4" w:rsidP="009134CD">
      <w:pPr>
        <w:spacing w:after="0"/>
        <w:jc w:val="both"/>
        <w:rPr>
          <w:rFonts w:ascii="Arial" w:hAnsi="Arial" w:cs="Arial"/>
          <w:b/>
          <w:sz w:val="28"/>
          <w:szCs w:val="22"/>
          <w:lang w:val="it-IT"/>
        </w:rPr>
      </w:pPr>
      <w:r w:rsidRPr="009134CD">
        <w:rPr>
          <w:rFonts w:ascii="Arial" w:hAnsi="Arial" w:cs="Arial"/>
          <w:b/>
          <w:bCs/>
          <w:sz w:val="28"/>
          <w:szCs w:val="22"/>
          <w:lang w:val="it-IT"/>
        </w:rPr>
        <w:lastRenderedPageBreak/>
        <w:t>T-REX NEL DETTAGLIO</w:t>
      </w:r>
    </w:p>
    <w:p w:rsidR="00F5565F" w:rsidRPr="005C7025" w:rsidRDefault="00F5565F" w:rsidP="009134CD">
      <w:pPr>
        <w:spacing w:after="0"/>
        <w:jc w:val="both"/>
        <w:rPr>
          <w:rFonts w:ascii="Arial" w:hAnsi="Arial" w:cs="Arial"/>
          <w:sz w:val="28"/>
          <w:szCs w:val="22"/>
          <w:lang w:val="it-IT"/>
        </w:rPr>
      </w:pPr>
    </w:p>
    <w:p w:rsidR="00F5565F" w:rsidRPr="005C7025" w:rsidRDefault="00CE17D4" w:rsidP="009134CD">
      <w:pPr>
        <w:spacing w:after="0"/>
        <w:jc w:val="both"/>
        <w:rPr>
          <w:rFonts w:ascii="Arial" w:hAnsi="Arial" w:cs="Arial"/>
          <w:b/>
          <w:sz w:val="22"/>
          <w:szCs w:val="22"/>
          <w:lang w:val="it-IT"/>
        </w:rPr>
      </w:pPr>
      <w:r w:rsidRPr="009134CD">
        <w:rPr>
          <w:rFonts w:ascii="Arial" w:hAnsi="Arial" w:cs="Arial"/>
          <w:b/>
          <w:bCs/>
          <w:sz w:val="22"/>
          <w:szCs w:val="22"/>
          <w:lang w:val="it-IT"/>
        </w:rPr>
        <w:t>L’ispirazione</w:t>
      </w:r>
    </w:p>
    <w:p w:rsidR="00C161E0" w:rsidRPr="009134CD" w:rsidRDefault="00CE17D4" w:rsidP="009134CD">
      <w:pPr>
        <w:spacing w:after="0"/>
        <w:jc w:val="both"/>
        <w:rPr>
          <w:rFonts w:ascii="Arial" w:hAnsi="Arial" w:cs="Arial"/>
          <w:sz w:val="22"/>
          <w:szCs w:val="22"/>
          <w:lang w:val="it-IT"/>
        </w:rPr>
      </w:pPr>
      <w:r w:rsidRPr="009134CD">
        <w:rPr>
          <w:rFonts w:ascii="Arial" w:hAnsi="Arial" w:cs="Arial"/>
          <w:sz w:val="22"/>
          <w:szCs w:val="22"/>
          <w:lang w:val="it-IT"/>
        </w:rPr>
        <w:br/>
        <w:t>Potente e ultraterreno, T-Rex trae, tuttavia, ispirazione da un oggetto al contempo stravagante e familiare. Uno strano ornamento sulla scrivania del fondatore di MB&amp;F Maximilian Büsser, composto da una palla di Natale in cima a due zampe di gallina. Si dice che gli esemplari delle specie aviarie siano i discendenti odierni dei possenti dinosauri di un tempo, ma l’oggetto di ispirazione del T-Rex, con il suo aspetto comico, doveva ancora evolversi molto prima di arrivare alla versione finale.</w:t>
      </w:r>
    </w:p>
    <w:p w:rsidR="00F5565F" w:rsidRPr="009134CD" w:rsidRDefault="00F5565F" w:rsidP="009134CD">
      <w:pPr>
        <w:spacing w:after="0"/>
        <w:jc w:val="both"/>
        <w:rPr>
          <w:rFonts w:ascii="Arial" w:hAnsi="Arial" w:cs="Arial"/>
          <w:sz w:val="22"/>
          <w:szCs w:val="22"/>
          <w:lang w:val="it-IT"/>
        </w:rPr>
      </w:pPr>
    </w:p>
    <w:p w:rsidR="003532D4" w:rsidRPr="009134CD" w:rsidRDefault="00CE17D4" w:rsidP="009134CD">
      <w:pPr>
        <w:spacing w:after="0"/>
        <w:jc w:val="both"/>
        <w:rPr>
          <w:rFonts w:ascii="Arial" w:hAnsi="Arial" w:cs="Arial"/>
          <w:sz w:val="22"/>
          <w:szCs w:val="22"/>
          <w:lang w:val="it-IT"/>
        </w:rPr>
      </w:pPr>
      <w:r w:rsidRPr="009134CD">
        <w:rPr>
          <w:rFonts w:ascii="Arial" w:hAnsi="Arial" w:cs="Arial"/>
          <w:sz w:val="22"/>
          <w:szCs w:val="22"/>
          <w:lang w:val="it-IT"/>
        </w:rPr>
        <w:t>Il designer Maximilian Maertens è stato l’incubatore creativo che, alla fine, ha reso il T-Rex il protagonista dell’11</w:t>
      </w:r>
      <w:r w:rsidRPr="009134CD">
        <w:rPr>
          <w:rFonts w:ascii="Arial" w:hAnsi="Arial" w:cs="Arial"/>
          <w:sz w:val="22"/>
          <w:szCs w:val="22"/>
          <w:vertAlign w:val="superscript"/>
          <w:lang w:val="it-IT"/>
        </w:rPr>
        <w:t>a</w:t>
      </w:r>
      <w:r w:rsidRPr="009134CD">
        <w:rPr>
          <w:rFonts w:ascii="Arial" w:hAnsi="Arial" w:cs="Arial"/>
          <w:sz w:val="22"/>
          <w:szCs w:val="22"/>
          <w:lang w:val="it-IT"/>
        </w:rPr>
        <w:t xml:space="preserve"> collaborazione tra MB&amp;F e L’Épée 1839. Il film </w:t>
      </w:r>
      <w:r w:rsidRPr="009134CD">
        <w:rPr>
          <w:rFonts w:ascii="Arial" w:hAnsi="Arial" w:cs="Arial"/>
          <w:i/>
          <w:iCs/>
          <w:sz w:val="22"/>
          <w:szCs w:val="22"/>
          <w:lang w:val="it-IT"/>
        </w:rPr>
        <w:t>Jurassic Park</w:t>
      </w:r>
      <w:r w:rsidRPr="009134CD">
        <w:rPr>
          <w:rFonts w:ascii="Arial" w:hAnsi="Arial" w:cs="Arial"/>
          <w:sz w:val="22"/>
          <w:szCs w:val="22"/>
          <w:lang w:val="it-IT"/>
        </w:rPr>
        <w:t xml:space="preserve"> del 1993 ha avuto una grande influenza su Maertens, poiché è stato il primo film che si ricorda di aver visto da bambino. Maertens afferma: “Inizialmente avevo l’intenzione di fare qualcosa con i dinosauri, e Max (Büsser), a quel tempo, era molto interessato ai modelli biomeccanici, abbiamo quindi unito queste due idee alla sua piccola scultura sulla scrivania e siamo passati alla tappa successiva”. </w:t>
      </w:r>
    </w:p>
    <w:p w:rsidR="00F5565F" w:rsidRPr="009134CD" w:rsidRDefault="00F5565F" w:rsidP="009134CD">
      <w:pPr>
        <w:spacing w:after="0"/>
        <w:jc w:val="both"/>
        <w:rPr>
          <w:rFonts w:ascii="Arial" w:hAnsi="Arial" w:cs="Arial"/>
          <w:sz w:val="22"/>
          <w:szCs w:val="22"/>
          <w:lang w:val="it-IT"/>
        </w:rPr>
      </w:pPr>
    </w:p>
    <w:p w:rsidR="003532D4" w:rsidRPr="009134CD" w:rsidRDefault="00CE17D4" w:rsidP="009134CD">
      <w:pPr>
        <w:spacing w:after="0"/>
        <w:jc w:val="both"/>
        <w:rPr>
          <w:rFonts w:ascii="Arial" w:hAnsi="Arial" w:cs="Arial"/>
          <w:sz w:val="22"/>
          <w:szCs w:val="22"/>
          <w:lang w:val="it-IT"/>
        </w:rPr>
      </w:pPr>
      <w:r w:rsidRPr="009134CD">
        <w:rPr>
          <w:rFonts w:ascii="Arial" w:hAnsi="Arial" w:cs="Arial"/>
          <w:sz w:val="22"/>
          <w:szCs w:val="22"/>
          <w:lang w:val="it-IT"/>
        </w:rPr>
        <w:t>T-Rex è modellato direttamente sul vero scheletro di un Tyrannosaurus Rex; è lo stesso Maertens ad aver studiato le scansioni 3D dei fossili di dinosauro per conferire maggiore autenticità alle proporzioni e al posizionamento delle gambe del T-Rex.</w:t>
      </w:r>
    </w:p>
    <w:p w:rsidR="00F5565F" w:rsidRPr="009134CD" w:rsidRDefault="00F5565F" w:rsidP="009134CD">
      <w:pPr>
        <w:spacing w:after="0"/>
        <w:jc w:val="both"/>
        <w:rPr>
          <w:rFonts w:ascii="Arial" w:hAnsi="Arial" w:cs="Arial"/>
          <w:sz w:val="22"/>
          <w:szCs w:val="22"/>
          <w:lang w:val="it-IT"/>
        </w:rPr>
      </w:pPr>
    </w:p>
    <w:p w:rsidR="00FA3EE1" w:rsidRPr="009134CD" w:rsidRDefault="00CE17D4" w:rsidP="009134CD">
      <w:pPr>
        <w:spacing w:after="0"/>
        <w:jc w:val="both"/>
        <w:rPr>
          <w:rFonts w:ascii="Arial" w:hAnsi="Arial" w:cs="Arial"/>
          <w:sz w:val="22"/>
          <w:szCs w:val="22"/>
          <w:lang w:val="fr-CH"/>
        </w:rPr>
      </w:pPr>
      <w:r w:rsidRPr="009134CD">
        <w:rPr>
          <w:rFonts w:ascii="Arial" w:hAnsi="Arial" w:cs="Arial"/>
          <w:sz w:val="22"/>
          <w:szCs w:val="22"/>
          <w:lang w:val="it-IT"/>
        </w:rPr>
        <w:t>Durante la progettazione di T-Rex, Maertens ci ha anche raccontato un piccolo retroscena riguardo al processo di sviluppo dell’equilibrio perfetto tra elementi visivi organici e meccanici. “Tutto iniziò con delle idee che avevo avuto da progetti passati di MB&amp;F: abbiamo immaginato che esistesse un pilota in un’astronave alla scoperta di nuovi pianeti. Alla fine era arrivato così lontano nello spazio che l’unico modo per ritornare sulla Terra era attraverso un buco nero, ma fece un salto spaziotemporale fino all’era dei dinosauri e la sua astronave si fuse con un uovo di dinosauro appena schiuso. Si possono ancora vedere tracce dell’astronave nella struttura dell’orologio e nel movimento, del dinosauro sono rimaste le gambe, e anche il buco nero è ancora presente nel design se si guarda il quadrante che sprofonda verso il centro, laddove ha origine il tempo”.</w:t>
      </w:r>
    </w:p>
    <w:p w:rsidR="00D6083A" w:rsidRPr="009134CD" w:rsidRDefault="00D6083A" w:rsidP="009134CD">
      <w:pPr>
        <w:spacing w:after="0"/>
        <w:jc w:val="both"/>
        <w:rPr>
          <w:rFonts w:ascii="Arial" w:hAnsi="Arial" w:cs="Arial"/>
          <w:sz w:val="22"/>
          <w:szCs w:val="22"/>
          <w:lang w:val="fr-CH"/>
        </w:rPr>
      </w:pPr>
    </w:p>
    <w:p w:rsidR="00D6083A" w:rsidRPr="009134CD" w:rsidRDefault="00CE17D4" w:rsidP="009134CD">
      <w:pPr>
        <w:spacing w:after="0"/>
        <w:jc w:val="both"/>
        <w:rPr>
          <w:rFonts w:ascii="Arial" w:hAnsi="Arial" w:cs="Arial"/>
          <w:b/>
          <w:sz w:val="22"/>
          <w:szCs w:val="22"/>
          <w:lang w:val="fr-CH"/>
        </w:rPr>
      </w:pPr>
      <w:r w:rsidRPr="009134CD">
        <w:rPr>
          <w:rFonts w:ascii="Arial" w:hAnsi="Arial" w:cs="Arial"/>
          <w:b/>
          <w:bCs/>
          <w:sz w:val="22"/>
          <w:szCs w:val="22"/>
          <w:lang w:val="it-IT"/>
        </w:rPr>
        <w:t>Il movimento e la struttura</w:t>
      </w:r>
    </w:p>
    <w:p w:rsidR="00F5565F" w:rsidRPr="009134CD" w:rsidRDefault="00F5565F" w:rsidP="009134CD">
      <w:pPr>
        <w:spacing w:after="0"/>
        <w:jc w:val="both"/>
        <w:rPr>
          <w:rFonts w:ascii="Arial" w:hAnsi="Arial" w:cs="Arial"/>
          <w:sz w:val="22"/>
          <w:szCs w:val="22"/>
          <w:lang w:val="fr-CH"/>
        </w:rPr>
      </w:pPr>
    </w:p>
    <w:p w:rsidR="00B1011C" w:rsidRPr="009134CD" w:rsidRDefault="00CE17D4" w:rsidP="009134CD">
      <w:pPr>
        <w:spacing w:after="0"/>
        <w:jc w:val="both"/>
        <w:rPr>
          <w:rFonts w:ascii="Arial" w:hAnsi="Arial" w:cs="Arial"/>
          <w:sz w:val="22"/>
          <w:szCs w:val="22"/>
          <w:lang w:val="fr-CH"/>
        </w:rPr>
      </w:pPr>
      <w:r w:rsidRPr="009134CD">
        <w:rPr>
          <w:rFonts w:ascii="Arial" w:hAnsi="Arial" w:cs="Arial"/>
          <w:sz w:val="22"/>
          <w:szCs w:val="22"/>
          <w:lang w:val="it-IT"/>
        </w:rPr>
        <w:t xml:space="preserve">T-Rex è azionato da un movimento di 138 componenti, progettato e prodotto in house da L’Épée 1839, e rifinito secondo i più alti standard della tradizione orologiera svizzera. In cima al movimento a carica manuale, chiaramente visibile attraverso la struttura scheletrata dell’orologio che lo circonda, si trova il bilanciere che batte a 2.5 Hz (18,000 alt/ora). La riserva di carica di otto giorni è caricata direttamente tramite l’asse del bariletto posizionato sul retro del movimento, mentre l’ora è impostata al centro del quadrante. Entrambe le operazioni sono effettuate con la stessa chiave.  </w:t>
      </w:r>
    </w:p>
    <w:p w:rsidR="00F5565F" w:rsidRPr="009134CD" w:rsidRDefault="00F5565F" w:rsidP="009134CD">
      <w:pPr>
        <w:spacing w:after="0"/>
        <w:jc w:val="both"/>
        <w:rPr>
          <w:rFonts w:ascii="Arial" w:hAnsi="Arial" w:cs="Arial"/>
          <w:sz w:val="22"/>
          <w:szCs w:val="22"/>
          <w:lang w:val="fr-CH"/>
        </w:rPr>
      </w:pPr>
    </w:p>
    <w:p w:rsidR="00B1011C" w:rsidRPr="009134CD" w:rsidRDefault="00CE17D4" w:rsidP="009134CD">
      <w:pPr>
        <w:spacing w:after="0"/>
        <w:jc w:val="both"/>
        <w:rPr>
          <w:rFonts w:ascii="Arial" w:hAnsi="Arial" w:cs="Arial"/>
          <w:sz w:val="22"/>
          <w:szCs w:val="22"/>
          <w:lang w:val="it-IT"/>
        </w:rPr>
      </w:pPr>
      <w:r w:rsidRPr="009134CD">
        <w:rPr>
          <w:rFonts w:ascii="Arial" w:hAnsi="Arial" w:cs="Arial"/>
          <w:sz w:val="22"/>
          <w:szCs w:val="22"/>
          <w:lang w:val="it-IT"/>
        </w:rPr>
        <w:t>Il vetro di Murano soffiato artigianalmente forma il quadrante dell’orologio del T-Rex, un materiale con cui MB&amp;F e L’Épée 1839 hanno acquisito familiarità durante la creazione di Medusa, la loro 10</w:t>
      </w:r>
      <w:r w:rsidRPr="009134CD">
        <w:rPr>
          <w:rFonts w:ascii="Arial" w:hAnsi="Arial" w:cs="Arial"/>
          <w:sz w:val="22"/>
          <w:szCs w:val="22"/>
          <w:vertAlign w:val="superscript"/>
          <w:lang w:val="it-IT"/>
        </w:rPr>
        <w:t>a</w:t>
      </w:r>
      <w:r w:rsidRPr="009134CD">
        <w:rPr>
          <w:rFonts w:ascii="Arial" w:hAnsi="Arial" w:cs="Arial"/>
          <w:sz w:val="22"/>
          <w:szCs w:val="22"/>
          <w:lang w:val="it-IT"/>
        </w:rPr>
        <w:t xml:space="preserve"> collaborazione. T-Rex esiste in una variazione di quadranti in vetro di Murano verde, blu scuro e rosso dalle tonalità vivaci, frutto della lavorazione con sali metallici secondo tecniche ancestrali di soffiatura.</w:t>
      </w:r>
    </w:p>
    <w:p w:rsidR="00F5565F" w:rsidRPr="009134CD" w:rsidRDefault="00F5565F" w:rsidP="009134CD">
      <w:pPr>
        <w:spacing w:after="0"/>
        <w:jc w:val="both"/>
        <w:rPr>
          <w:rFonts w:ascii="Arial" w:hAnsi="Arial" w:cs="Arial"/>
          <w:sz w:val="22"/>
          <w:szCs w:val="22"/>
          <w:lang w:val="it-IT"/>
        </w:rPr>
      </w:pPr>
    </w:p>
    <w:p w:rsidR="00FA3EE1" w:rsidRDefault="00CE17D4" w:rsidP="009134CD">
      <w:pPr>
        <w:spacing w:after="0"/>
        <w:jc w:val="both"/>
        <w:rPr>
          <w:rFonts w:ascii="Arial" w:hAnsi="Arial" w:cs="Arial"/>
          <w:sz w:val="22"/>
          <w:szCs w:val="22"/>
          <w:lang w:val="it-IT"/>
        </w:rPr>
      </w:pPr>
      <w:r w:rsidRPr="009134CD">
        <w:rPr>
          <w:rFonts w:ascii="Arial" w:hAnsi="Arial" w:cs="Arial"/>
          <w:sz w:val="22"/>
          <w:szCs w:val="22"/>
          <w:lang w:val="it-IT"/>
        </w:rPr>
        <w:t>Il T-Rex è alto 30 cm ed è realizzato in acciaio, ottone e bronzo placcati palladio; il suo peso è di circa 2 kg distribuiti su due piedi finemente scolpiti.</w:t>
      </w:r>
    </w:p>
    <w:p w:rsidR="009134CD" w:rsidRPr="009134CD" w:rsidRDefault="009134CD" w:rsidP="009134CD">
      <w:pPr>
        <w:spacing w:after="0"/>
        <w:jc w:val="both"/>
        <w:rPr>
          <w:rFonts w:ascii="Arial" w:hAnsi="Arial" w:cs="Arial"/>
          <w:b/>
          <w:bCs/>
          <w:sz w:val="28"/>
          <w:szCs w:val="22"/>
          <w:lang w:val="fr-CH"/>
        </w:rPr>
      </w:pPr>
      <w:r w:rsidRPr="009134CD">
        <w:rPr>
          <w:rFonts w:ascii="Arial" w:hAnsi="Arial" w:cs="Arial"/>
          <w:b/>
          <w:bCs/>
          <w:sz w:val="28"/>
          <w:szCs w:val="22"/>
          <w:lang w:val="it-IT"/>
        </w:rPr>
        <w:lastRenderedPageBreak/>
        <w:t>T-Rex: specifiche tecniche</w:t>
      </w:r>
    </w:p>
    <w:p w:rsidR="009134CD" w:rsidRPr="009134CD" w:rsidRDefault="009134CD" w:rsidP="009134CD">
      <w:pPr>
        <w:spacing w:after="0"/>
        <w:jc w:val="both"/>
        <w:rPr>
          <w:rFonts w:ascii="Arial" w:hAnsi="Arial" w:cs="Arial"/>
          <w:bCs/>
          <w:sz w:val="22"/>
          <w:szCs w:val="22"/>
          <w:lang w:val="fr-CH"/>
        </w:rPr>
      </w:pPr>
    </w:p>
    <w:p w:rsidR="009134CD" w:rsidRPr="009134CD" w:rsidRDefault="009134CD" w:rsidP="009134CD">
      <w:pPr>
        <w:spacing w:after="0"/>
        <w:jc w:val="both"/>
        <w:rPr>
          <w:rFonts w:ascii="Arial" w:hAnsi="Arial" w:cs="Arial"/>
          <w:b/>
          <w:bCs/>
          <w:sz w:val="22"/>
          <w:szCs w:val="22"/>
          <w:lang w:val="fr-CH"/>
        </w:rPr>
      </w:pPr>
      <w:r w:rsidRPr="009134CD">
        <w:rPr>
          <w:rFonts w:ascii="Arial" w:hAnsi="Arial" w:cs="Arial"/>
          <w:b/>
          <w:bCs/>
          <w:sz w:val="22"/>
          <w:szCs w:val="22"/>
          <w:lang w:val="it-IT"/>
        </w:rPr>
        <w:t>Il T-Rex è disponibile in tre edizioni limitate di 100 esemplari ciascuna, con quadranti in vetro di Murano verde, profondo blu o rosso.</w:t>
      </w:r>
    </w:p>
    <w:p w:rsidR="009134CD" w:rsidRPr="009134CD" w:rsidRDefault="009134CD" w:rsidP="009134CD">
      <w:pPr>
        <w:spacing w:after="0"/>
        <w:jc w:val="both"/>
        <w:rPr>
          <w:rFonts w:ascii="Arial" w:hAnsi="Arial" w:cs="Arial"/>
          <w:b/>
          <w:bCs/>
          <w:sz w:val="22"/>
          <w:szCs w:val="22"/>
          <w:lang w:val="fr-CH"/>
        </w:rPr>
      </w:pPr>
    </w:p>
    <w:p w:rsidR="009134CD" w:rsidRPr="009134CD" w:rsidRDefault="009134CD" w:rsidP="009134CD">
      <w:pPr>
        <w:spacing w:after="0"/>
        <w:jc w:val="both"/>
        <w:rPr>
          <w:rFonts w:ascii="Arial" w:hAnsi="Arial" w:cs="Arial"/>
          <w:b/>
          <w:bCs/>
          <w:sz w:val="22"/>
          <w:szCs w:val="22"/>
          <w:lang w:val="fr-CH"/>
        </w:rPr>
      </w:pPr>
    </w:p>
    <w:p w:rsidR="009134CD" w:rsidRPr="009134CD" w:rsidRDefault="009134CD" w:rsidP="009134CD">
      <w:pPr>
        <w:spacing w:after="0"/>
        <w:jc w:val="both"/>
        <w:rPr>
          <w:rFonts w:ascii="Arial" w:hAnsi="Arial" w:cs="Arial"/>
          <w:b/>
          <w:bCs/>
          <w:sz w:val="22"/>
          <w:szCs w:val="22"/>
          <w:lang w:val="fr-CH"/>
        </w:rPr>
      </w:pPr>
      <w:r w:rsidRPr="009134CD">
        <w:rPr>
          <w:rFonts w:ascii="Arial" w:hAnsi="Arial" w:cs="Arial"/>
          <w:b/>
          <w:bCs/>
          <w:sz w:val="22"/>
          <w:szCs w:val="22"/>
          <w:lang w:val="it-IT"/>
        </w:rPr>
        <w:t>Visualizzazione</w:t>
      </w:r>
    </w:p>
    <w:p w:rsidR="009134CD" w:rsidRPr="009134CD" w:rsidRDefault="009134CD" w:rsidP="009134CD">
      <w:pPr>
        <w:spacing w:after="0"/>
        <w:jc w:val="both"/>
        <w:rPr>
          <w:rFonts w:ascii="Arial" w:hAnsi="Arial" w:cs="Arial"/>
          <w:sz w:val="22"/>
          <w:szCs w:val="22"/>
          <w:lang w:val="fr-CH"/>
        </w:rPr>
      </w:pPr>
      <w:r w:rsidRPr="009134CD">
        <w:rPr>
          <w:rFonts w:ascii="Arial" w:hAnsi="Arial" w:cs="Arial"/>
          <w:sz w:val="22"/>
          <w:szCs w:val="22"/>
          <w:lang w:val="it-IT"/>
        </w:rPr>
        <w:t>Ore e minuti</w:t>
      </w:r>
    </w:p>
    <w:p w:rsidR="009134CD" w:rsidRPr="009134CD" w:rsidRDefault="009134CD" w:rsidP="009134CD">
      <w:pPr>
        <w:spacing w:after="0"/>
        <w:jc w:val="both"/>
        <w:rPr>
          <w:rFonts w:ascii="Arial" w:hAnsi="Arial" w:cs="Arial"/>
          <w:sz w:val="22"/>
          <w:szCs w:val="22"/>
          <w:lang w:val="fr-CH"/>
        </w:rPr>
      </w:pPr>
    </w:p>
    <w:p w:rsidR="009134CD" w:rsidRPr="009134CD" w:rsidRDefault="009134CD" w:rsidP="009134CD">
      <w:pPr>
        <w:spacing w:after="0"/>
        <w:jc w:val="both"/>
        <w:rPr>
          <w:rFonts w:ascii="Arial" w:hAnsi="Arial" w:cs="Arial"/>
          <w:sz w:val="22"/>
          <w:szCs w:val="22"/>
          <w:lang w:val="fr-CH"/>
        </w:rPr>
      </w:pPr>
    </w:p>
    <w:p w:rsidR="009134CD" w:rsidRPr="009134CD" w:rsidRDefault="009134CD" w:rsidP="009134CD">
      <w:pPr>
        <w:spacing w:after="0"/>
        <w:jc w:val="both"/>
        <w:rPr>
          <w:rFonts w:ascii="Arial" w:hAnsi="Arial" w:cs="Arial"/>
          <w:b/>
          <w:bCs/>
          <w:sz w:val="22"/>
          <w:szCs w:val="22"/>
          <w:lang w:val="fr-CH"/>
        </w:rPr>
      </w:pPr>
      <w:r w:rsidRPr="009134CD">
        <w:rPr>
          <w:rFonts w:ascii="Arial" w:hAnsi="Arial" w:cs="Arial"/>
          <w:b/>
          <w:bCs/>
          <w:sz w:val="22"/>
          <w:szCs w:val="22"/>
          <w:lang w:val="it-IT"/>
        </w:rPr>
        <w:t>Dimensioni</w:t>
      </w:r>
    </w:p>
    <w:p w:rsidR="009134CD" w:rsidRPr="009134CD" w:rsidRDefault="009134CD" w:rsidP="009134CD">
      <w:pPr>
        <w:spacing w:after="0"/>
        <w:jc w:val="both"/>
        <w:rPr>
          <w:rFonts w:ascii="Arial" w:hAnsi="Arial" w:cs="Arial"/>
          <w:sz w:val="22"/>
          <w:szCs w:val="22"/>
          <w:lang w:val="fr-CH"/>
        </w:rPr>
      </w:pPr>
      <w:r w:rsidRPr="009134CD">
        <w:rPr>
          <w:rFonts w:ascii="Arial" w:hAnsi="Arial" w:cs="Arial"/>
          <w:sz w:val="22"/>
          <w:szCs w:val="22"/>
          <w:lang w:val="it-IT"/>
        </w:rPr>
        <w:t>Dimensioni: 265  mm x 258 mm x 178 mm</w:t>
      </w:r>
    </w:p>
    <w:p w:rsidR="009134CD" w:rsidRPr="009134CD" w:rsidRDefault="009134CD" w:rsidP="009134CD">
      <w:pPr>
        <w:spacing w:after="0"/>
        <w:jc w:val="both"/>
        <w:rPr>
          <w:rFonts w:ascii="Arial" w:hAnsi="Arial" w:cs="Arial"/>
          <w:sz w:val="22"/>
          <w:szCs w:val="22"/>
          <w:lang w:val="fr-CH"/>
        </w:rPr>
      </w:pPr>
      <w:r w:rsidRPr="009134CD">
        <w:rPr>
          <w:rFonts w:ascii="Arial" w:hAnsi="Arial" w:cs="Arial"/>
          <w:sz w:val="22"/>
          <w:szCs w:val="22"/>
          <w:lang w:val="it-IT"/>
        </w:rPr>
        <w:t>Componenti totali (movimento + struttura): 201</w:t>
      </w:r>
    </w:p>
    <w:p w:rsidR="009134CD" w:rsidRPr="009134CD" w:rsidRDefault="009134CD" w:rsidP="009134CD">
      <w:pPr>
        <w:spacing w:after="0"/>
        <w:jc w:val="both"/>
        <w:rPr>
          <w:rFonts w:ascii="Arial" w:hAnsi="Arial" w:cs="Arial"/>
          <w:sz w:val="22"/>
          <w:szCs w:val="22"/>
          <w:lang w:val="fr-CH"/>
        </w:rPr>
      </w:pPr>
      <w:r w:rsidRPr="009134CD">
        <w:rPr>
          <w:rFonts w:ascii="Arial" w:hAnsi="Arial" w:cs="Arial"/>
          <w:sz w:val="22"/>
          <w:szCs w:val="22"/>
          <w:lang w:val="it-IT"/>
        </w:rPr>
        <w:t>Peso: circa 2 kg</w:t>
      </w:r>
    </w:p>
    <w:p w:rsidR="009134CD" w:rsidRPr="009134CD" w:rsidRDefault="009134CD" w:rsidP="009134CD">
      <w:pPr>
        <w:spacing w:after="0"/>
        <w:jc w:val="both"/>
        <w:rPr>
          <w:rFonts w:ascii="Arial" w:hAnsi="Arial" w:cs="Arial"/>
          <w:sz w:val="22"/>
          <w:szCs w:val="22"/>
          <w:lang w:val="fr-CH"/>
        </w:rPr>
      </w:pPr>
    </w:p>
    <w:p w:rsidR="009134CD" w:rsidRPr="009134CD" w:rsidRDefault="009134CD" w:rsidP="009134CD">
      <w:pPr>
        <w:spacing w:after="0"/>
        <w:jc w:val="both"/>
        <w:rPr>
          <w:rFonts w:ascii="Arial" w:hAnsi="Arial" w:cs="Arial"/>
          <w:sz w:val="22"/>
          <w:szCs w:val="22"/>
          <w:lang w:val="fr-CH"/>
        </w:rPr>
      </w:pPr>
    </w:p>
    <w:p w:rsidR="009134CD" w:rsidRPr="009134CD" w:rsidRDefault="009134CD" w:rsidP="009134CD">
      <w:pPr>
        <w:spacing w:after="0"/>
        <w:jc w:val="both"/>
        <w:rPr>
          <w:rFonts w:ascii="Arial" w:hAnsi="Arial" w:cs="Arial"/>
          <w:b/>
          <w:bCs/>
          <w:sz w:val="22"/>
          <w:szCs w:val="22"/>
          <w:lang w:val="fr-CH"/>
        </w:rPr>
      </w:pPr>
      <w:r w:rsidRPr="009134CD">
        <w:rPr>
          <w:rFonts w:ascii="Arial" w:hAnsi="Arial" w:cs="Arial"/>
          <w:b/>
          <w:bCs/>
          <w:sz w:val="22"/>
          <w:szCs w:val="22"/>
          <w:lang w:val="it-IT"/>
        </w:rPr>
        <w:t>Struttura/armatura</w:t>
      </w:r>
    </w:p>
    <w:p w:rsidR="009134CD" w:rsidRPr="009134CD" w:rsidRDefault="009134CD" w:rsidP="009134CD">
      <w:pPr>
        <w:spacing w:after="0"/>
        <w:jc w:val="both"/>
        <w:rPr>
          <w:rFonts w:ascii="Arial" w:hAnsi="Arial" w:cs="Arial"/>
          <w:sz w:val="22"/>
          <w:szCs w:val="22"/>
          <w:lang w:val="fr-CH"/>
        </w:rPr>
      </w:pPr>
      <w:r w:rsidRPr="009134CD">
        <w:rPr>
          <w:rFonts w:ascii="Arial" w:hAnsi="Arial" w:cs="Arial"/>
          <w:sz w:val="22"/>
          <w:szCs w:val="22"/>
          <w:lang w:val="fr-CH"/>
        </w:rPr>
        <w:t>Quadrante: vetro di Murano soffiato artigianlemente</w:t>
      </w:r>
    </w:p>
    <w:p w:rsidR="009134CD" w:rsidRPr="009134CD" w:rsidRDefault="009134CD" w:rsidP="009134CD">
      <w:pPr>
        <w:spacing w:after="0"/>
        <w:jc w:val="both"/>
        <w:rPr>
          <w:rFonts w:ascii="Arial" w:hAnsi="Arial" w:cs="Arial"/>
          <w:sz w:val="22"/>
          <w:szCs w:val="22"/>
          <w:lang w:val="en-GB"/>
        </w:rPr>
      </w:pPr>
      <w:r w:rsidRPr="009134CD">
        <w:rPr>
          <w:rFonts w:ascii="Arial" w:hAnsi="Arial" w:cs="Arial"/>
          <w:sz w:val="22"/>
          <w:szCs w:val="22"/>
          <w:lang w:val="it-IT"/>
        </w:rPr>
        <w:t>Materiali: acciaio inossidabile, ottone placcato palladio e bronzo</w:t>
      </w:r>
    </w:p>
    <w:p w:rsidR="009134CD" w:rsidRPr="009134CD" w:rsidRDefault="009134CD" w:rsidP="009134CD">
      <w:pPr>
        <w:spacing w:after="0"/>
        <w:jc w:val="both"/>
        <w:rPr>
          <w:rFonts w:ascii="Arial" w:hAnsi="Arial" w:cs="Arial"/>
          <w:sz w:val="22"/>
          <w:szCs w:val="22"/>
          <w:lang w:val="fr-CH"/>
        </w:rPr>
      </w:pPr>
      <w:r w:rsidRPr="009134CD">
        <w:rPr>
          <w:rFonts w:ascii="Arial" w:hAnsi="Arial" w:cs="Arial"/>
          <w:sz w:val="22"/>
          <w:szCs w:val="22"/>
          <w:lang w:val="it-IT"/>
        </w:rPr>
        <w:t>Finitura: lucidatura, satinatura e sabbiatura</w:t>
      </w:r>
    </w:p>
    <w:p w:rsidR="009134CD" w:rsidRPr="009134CD" w:rsidRDefault="009134CD" w:rsidP="009134CD">
      <w:pPr>
        <w:spacing w:after="0"/>
        <w:jc w:val="both"/>
        <w:rPr>
          <w:rFonts w:ascii="Arial" w:hAnsi="Arial" w:cs="Arial"/>
          <w:sz w:val="22"/>
          <w:szCs w:val="22"/>
          <w:lang w:val="fr-CH"/>
        </w:rPr>
      </w:pPr>
      <w:r w:rsidRPr="009134CD">
        <w:rPr>
          <w:rFonts w:ascii="Arial" w:hAnsi="Arial" w:cs="Arial"/>
          <w:sz w:val="22"/>
          <w:szCs w:val="22"/>
          <w:lang w:val="it-IT"/>
        </w:rPr>
        <w:t>Componenti della struttura: 63</w:t>
      </w:r>
    </w:p>
    <w:p w:rsidR="009134CD" w:rsidRPr="009134CD" w:rsidRDefault="009134CD" w:rsidP="009134CD">
      <w:pPr>
        <w:spacing w:after="0"/>
        <w:jc w:val="both"/>
        <w:rPr>
          <w:rFonts w:ascii="Arial" w:hAnsi="Arial" w:cs="Arial"/>
          <w:sz w:val="22"/>
          <w:szCs w:val="22"/>
          <w:lang w:val="fr-CH"/>
        </w:rPr>
      </w:pPr>
    </w:p>
    <w:p w:rsidR="009134CD" w:rsidRPr="009134CD" w:rsidRDefault="009134CD" w:rsidP="009134CD">
      <w:pPr>
        <w:spacing w:after="0"/>
        <w:jc w:val="both"/>
        <w:rPr>
          <w:rFonts w:ascii="Arial" w:hAnsi="Arial" w:cs="Arial"/>
          <w:sz w:val="22"/>
          <w:szCs w:val="22"/>
          <w:lang w:val="fr-CH"/>
        </w:rPr>
      </w:pPr>
    </w:p>
    <w:p w:rsidR="009134CD" w:rsidRPr="009134CD" w:rsidRDefault="009134CD" w:rsidP="009134CD">
      <w:pPr>
        <w:spacing w:after="0"/>
        <w:jc w:val="both"/>
        <w:rPr>
          <w:rFonts w:ascii="Arial" w:hAnsi="Arial" w:cs="Arial"/>
          <w:b/>
          <w:bCs/>
          <w:sz w:val="22"/>
          <w:szCs w:val="22"/>
          <w:lang w:val="en-GB"/>
        </w:rPr>
      </w:pPr>
      <w:r w:rsidRPr="009134CD">
        <w:rPr>
          <w:rFonts w:ascii="Arial" w:hAnsi="Arial" w:cs="Arial"/>
          <w:b/>
          <w:bCs/>
          <w:sz w:val="22"/>
          <w:szCs w:val="22"/>
          <w:lang w:val="it-IT"/>
        </w:rPr>
        <w:t>Movimento</w:t>
      </w:r>
    </w:p>
    <w:p w:rsidR="009134CD" w:rsidRPr="009134CD" w:rsidRDefault="009134CD" w:rsidP="009134CD">
      <w:pPr>
        <w:spacing w:after="0"/>
        <w:jc w:val="both"/>
        <w:rPr>
          <w:rFonts w:ascii="Arial" w:hAnsi="Arial" w:cs="Arial"/>
          <w:sz w:val="22"/>
          <w:szCs w:val="22"/>
          <w:lang w:val="en-GB"/>
        </w:rPr>
      </w:pPr>
      <w:r w:rsidRPr="009134CD">
        <w:rPr>
          <w:rFonts w:ascii="Arial" w:hAnsi="Arial" w:cs="Arial"/>
          <w:sz w:val="22"/>
          <w:szCs w:val="22"/>
          <w:lang w:val="it-IT"/>
        </w:rPr>
        <w:t>Movimento L’Epée 1839, progettato e prodotto in house</w:t>
      </w:r>
    </w:p>
    <w:p w:rsidR="009134CD" w:rsidRPr="009134CD" w:rsidRDefault="009134CD" w:rsidP="009134CD">
      <w:pPr>
        <w:spacing w:after="0"/>
        <w:jc w:val="both"/>
        <w:rPr>
          <w:rFonts w:ascii="Arial" w:hAnsi="Arial" w:cs="Arial"/>
          <w:sz w:val="22"/>
          <w:szCs w:val="22"/>
          <w:lang w:val="en-GB"/>
        </w:rPr>
      </w:pPr>
      <w:r w:rsidRPr="009134CD">
        <w:rPr>
          <w:rFonts w:ascii="Arial" w:hAnsi="Arial" w:cs="Arial"/>
          <w:sz w:val="22"/>
          <w:szCs w:val="22"/>
          <w:lang w:val="it-IT"/>
        </w:rPr>
        <w:t>Frequenza del bilanciere: 2.5 Hz / 18,000 alt/ora</w:t>
      </w:r>
    </w:p>
    <w:p w:rsidR="009134CD" w:rsidRPr="009134CD" w:rsidRDefault="009134CD" w:rsidP="009134CD">
      <w:pPr>
        <w:spacing w:after="0"/>
        <w:jc w:val="both"/>
        <w:rPr>
          <w:rFonts w:ascii="Arial" w:hAnsi="Arial" w:cs="Arial"/>
          <w:sz w:val="22"/>
          <w:szCs w:val="22"/>
          <w:lang w:val="en-GB"/>
        </w:rPr>
      </w:pPr>
      <w:r w:rsidRPr="009134CD">
        <w:rPr>
          <w:rFonts w:ascii="Arial" w:hAnsi="Arial" w:cs="Arial"/>
          <w:sz w:val="22"/>
          <w:szCs w:val="22"/>
          <w:lang w:val="it-IT"/>
        </w:rPr>
        <w:t>Riserva di carica: 8 giorni</w:t>
      </w:r>
    </w:p>
    <w:p w:rsidR="009134CD" w:rsidRPr="009134CD" w:rsidRDefault="009134CD" w:rsidP="009134CD">
      <w:pPr>
        <w:spacing w:after="0"/>
        <w:jc w:val="both"/>
        <w:rPr>
          <w:rFonts w:ascii="Arial" w:hAnsi="Arial" w:cs="Arial"/>
          <w:sz w:val="22"/>
          <w:szCs w:val="22"/>
          <w:lang w:val="en-GB"/>
        </w:rPr>
      </w:pPr>
      <w:r w:rsidRPr="009134CD">
        <w:rPr>
          <w:rFonts w:ascii="Arial" w:hAnsi="Arial" w:cs="Arial"/>
          <w:sz w:val="22"/>
          <w:szCs w:val="22"/>
          <w:lang w:val="it-IT"/>
        </w:rPr>
        <w:t>Componenti del movimento: 138</w:t>
      </w:r>
    </w:p>
    <w:p w:rsidR="009134CD" w:rsidRPr="009134CD" w:rsidRDefault="009134CD" w:rsidP="009134CD">
      <w:pPr>
        <w:spacing w:after="0"/>
        <w:jc w:val="both"/>
        <w:rPr>
          <w:rFonts w:ascii="Arial" w:hAnsi="Arial" w:cs="Arial"/>
          <w:sz w:val="22"/>
          <w:szCs w:val="22"/>
          <w:lang w:val="en-GB"/>
        </w:rPr>
      </w:pPr>
      <w:r w:rsidRPr="009134CD">
        <w:rPr>
          <w:rFonts w:ascii="Arial" w:hAnsi="Arial" w:cs="Arial"/>
          <w:sz w:val="22"/>
          <w:szCs w:val="22"/>
          <w:lang w:val="it-IT"/>
        </w:rPr>
        <w:t>Rubini: 17</w:t>
      </w:r>
    </w:p>
    <w:p w:rsidR="009134CD" w:rsidRPr="009134CD" w:rsidRDefault="009134CD" w:rsidP="009134CD">
      <w:pPr>
        <w:spacing w:after="0"/>
        <w:jc w:val="both"/>
        <w:rPr>
          <w:rFonts w:ascii="Arial" w:hAnsi="Arial" w:cs="Arial"/>
          <w:sz w:val="22"/>
          <w:szCs w:val="22"/>
          <w:lang w:val="en-GB"/>
        </w:rPr>
      </w:pPr>
      <w:r w:rsidRPr="009134CD">
        <w:rPr>
          <w:rFonts w:ascii="Arial" w:hAnsi="Arial" w:cs="Arial"/>
          <w:sz w:val="22"/>
          <w:szCs w:val="22"/>
          <w:lang w:val="it-IT"/>
        </w:rPr>
        <w:t>Regolazione dell'ora: chiave sia per impostare l’ora (al centro del quadrante) sia per caricare il movimento (sull’asse del bariletto sul retro)</w:t>
      </w:r>
    </w:p>
    <w:p w:rsidR="009134CD" w:rsidRPr="009134CD" w:rsidRDefault="009134CD" w:rsidP="009134CD">
      <w:pPr>
        <w:spacing w:after="0"/>
        <w:jc w:val="both"/>
        <w:rPr>
          <w:rFonts w:ascii="Arial" w:hAnsi="Arial" w:cs="Arial"/>
          <w:sz w:val="22"/>
          <w:szCs w:val="22"/>
          <w:lang w:val="en-GB"/>
        </w:rPr>
      </w:pPr>
    </w:p>
    <w:p w:rsidR="009134CD" w:rsidRDefault="009134CD" w:rsidP="009134CD">
      <w:pPr>
        <w:spacing w:after="0"/>
        <w:jc w:val="both"/>
        <w:rPr>
          <w:rFonts w:ascii="Arial" w:hAnsi="Arial" w:cs="Arial"/>
          <w:sz w:val="22"/>
          <w:szCs w:val="22"/>
          <w:lang w:val="en-GB"/>
        </w:rPr>
      </w:pPr>
    </w:p>
    <w:p w:rsidR="009134CD" w:rsidRDefault="009134CD" w:rsidP="009134CD">
      <w:pPr>
        <w:spacing w:after="0"/>
        <w:jc w:val="both"/>
        <w:rPr>
          <w:rFonts w:ascii="Arial" w:hAnsi="Arial" w:cs="Arial"/>
          <w:sz w:val="22"/>
          <w:szCs w:val="22"/>
          <w:lang w:val="en-GB"/>
        </w:rPr>
      </w:pPr>
    </w:p>
    <w:p w:rsidR="009134CD" w:rsidRDefault="009134CD" w:rsidP="009134CD">
      <w:pPr>
        <w:spacing w:after="0"/>
        <w:jc w:val="both"/>
        <w:rPr>
          <w:rFonts w:ascii="Arial" w:hAnsi="Arial" w:cs="Arial"/>
          <w:sz w:val="22"/>
          <w:szCs w:val="22"/>
          <w:lang w:val="en-GB"/>
        </w:rPr>
      </w:pPr>
    </w:p>
    <w:p w:rsidR="009134CD" w:rsidRDefault="009134CD" w:rsidP="009134CD">
      <w:pPr>
        <w:spacing w:after="0"/>
        <w:jc w:val="both"/>
        <w:rPr>
          <w:rFonts w:ascii="Arial" w:hAnsi="Arial" w:cs="Arial"/>
          <w:sz w:val="22"/>
          <w:szCs w:val="22"/>
          <w:lang w:val="en-GB"/>
        </w:rPr>
      </w:pPr>
    </w:p>
    <w:p w:rsidR="009134CD" w:rsidRDefault="009134CD" w:rsidP="009134CD">
      <w:pPr>
        <w:spacing w:after="0"/>
        <w:jc w:val="both"/>
        <w:rPr>
          <w:rFonts w:ascii="Arial" w:hAnsi="Arial" w:cs="Arial"/>
          <w:sz w:val="22"/>
          <w:szCs w:val="22"/>
          <w:lang w:val="en-GB"/>
        </w:rPr>
      </w:pPr>
    </w:p>
    <w:p w:rsidR="009134CD" w:rsidRDefault="009134CD" w:rsidP="009134CD">
      <w:pPr>
        <w:spacing w:after="0"/>
        <w:jc w:val="both"/>
        <w:rPr>
          <w:rFonts w:ascii="Arial" w:hAnsi="Arial" w:cs="Arial"/>
          <w:sz w:val="22"/>
          <w:szCs w:val="22"/>
          <w:lang w:val="en-GB"/>
        </w:rPr>
      </w:pPr>
    </w:p>
    <w:p w:rsidR="009134CD" w:rsidRDefault="009134CD" w:rsidP="009134CD">
      <w:pPr>
        <w:spacing w:after="0"/>
        <w:jc w:val="both"/>
        <w:rPr>
          <w:rFonts w:ascii="Arial" w:hAnsi="Arial" w:cs="Arial"/>
          <w:sz w:val="22"/>
          <w:szCs w:val="22"/>
          <w:lang w:val="en-GB"/>
        </w:rPr>
      </w:pPr>
    </w:p>
    <w:p w:rsidR="009134CD" w:rsidRDefault="009134CD" w:rsidP="009134CD">
      <w:pPr>
        <w:spacing w:after="0"/>
        <w:jc w:val="both"/>
        <w:rPr>
          <w:rFonts w:ascii="Arial" w:hAnsi="Arial" w:cs="Arial"/>
          <w:sz w:val="22"/>
          <w:szCs w:val="22"/>
          <w:lang w:val="en-GB"/>
        </w:rPr>
      </w:pPr>
    </w:p>
    <w:p w:rsidR="009134CD" w:rsidRDefault="009134CD" w:rsidP="009134CD">
      <w:pPr>
        <w:spacing w:after="0"/>
        <w:jc w:val="both"/>
        <w:rPr>
          <w:rFonts w:ascii="Arial" w:hAnsi="Arial" w:cs="Arial"/>
          <w:sz w:val="22"/>
          <w:szCs w:val="22"/>
          <w:lang w:val="en-GB"/>
        </w:rPr>
      </w:pPr>
    </w:p>
    <w:p w:rsidR="009134CD" w:rsidRDefault="009134CD" w:rsidP="009134CD">
      <w:pPr>
        <w:spacing w:after="0"/>
        <w:jc w:val="both"/>
        <w:rPr>
          <w:rFonts w:ascii="Arial" w:hAnsi="Arial" w:cs="Arial"/>
          <w:sz w:val="22"/>
          <w:szCs w:val="22"/>
          <w:lang w:val="en-GB"/>
        </w:rPr>
      </w:pPr>
    </w:p>
    <w:p w:rsidR="009134CD" w:rsidRDefault="009134CD" w:rsidP="009134CD">
      <w:pPr>
        <w:spacing w:after="0"/>
        <w:jc w:val="both"/>
        <w:rPr>
          <w:rFonts w:ascii="Arial" w:hAnsi="Arial" w:cs="Arial"/>
          <w:sz w:val="22"/>
          <w:szCs w:val="22"/>
          <w:lang w:val="en-GB"/>
        </w:rPr>
      </w:pPr>
    </w:p>
    <w:p w:rsidR="009134CD" w:rsidRDefault="009134CD" w:rsidP="009134CD">
      <w:pPr>
        <w:spacing w:after="0"/>
        <w:jc w:val="both"/>
        <w:rPr>
          <w:rFonts w:ascii="Arial" w:hAnsi="Arial" w:cs="Arial"/>
          <w:sz w:val="22"/>
          <w:szCs w:val="22"/>
          <w:lang w:val="en-GB"/>
        </w:rPr>
      </w:pPr>
    </w:p>
    <w:p w:rsidR="009134CD" w:rsidRDefault="009134CD" w:rsidP="009134CD">
      <w:pPr>
        <w:spacing w:after="0"/>
        <w:jc w:val="both"/>
        <w:rPr>
          <w:rFonts w:ascii="Arial" w:hAnsi="Arial" w:cs="Arial"/>
          <w:sz w:val="22"/>
          <w:szCs w:val="22"/>
          <w:lang w:val="en-GB"/>
        </w:rPr>
      </w:pPr>
    </w:p>
    <w:p w:rsidR="009134CD" w:rsidRDefault="009134CD" w:rsidP="009134CD">
      <w:pPr>
        <w:spacing w:after="0"/>
        <w:jc w:val="both"/>
        <w:rPr>
          <w:rFonts w:ascii="Arial" w:hAnsi="Arial" w:cs="Arial"/>
          <w:sz w:val="22"/>
          <w:szCs w:val="22"/>
          <w:lang w:val="en-GB"/>
        </w:rPr>
      </w:pPr>
    </w:p>
    <w:p w:rsidR="009134CD" w:rsidRDefault="009134CD" w:rsidP="009134CD">
      <w:pPr>
        <w:spacing w:after="0"/>
        <w:jc w:val="both"/>
        <w:rPr>
          <w:rFonts w:ascii="Arial" w:hAnsi="Arial" w:cs="Arial"/>
          <w:sz w:val="22"/>
          <w:szCs w:val="22"/>
          <w:lang w:val="en-GB"/>
        </w:rPr>
      </w:pPr>
    </w:p>
    <w:p w:rsidR="009134CD" w:rsidRDefault="009134CD" w:rsidP="009134CD">
      <w:pPr>
        <w:spacing w:after="0"/>
        <w:jc w:val="both"/>
        <w:rPr>
          <w:rFonts w:ascii="Arial" w:hAnsi="Arial" w:cs="Arial"/>
          <w:sz w:val="22"/>
          <w:szCs w:val="22"/>
          <w:lang w:val="en-GB"/>
        </w:rPr>
      </w:pPr>
    </w:p>
    <w:p w:rsidR="009134CD" w:rsidRDefault="009134CD" w:rsidP="009134CD">
      <w:pPr>
        <w:spacing w:after="0"/>
        <w:jc w:val="both"/>
        <w:rPr>
          <w:rFonts w:ascii="Arial" w:hAnsi="Arial" w:cs="Arial"/>
          <w:sz w:val="22"/>
          <w:szCs w:val="22"/>
          <w:lang w:val="en-GB"/>
        </w:rPr>
      </w:pPr>
    </w:p>
    <w:p w:rsidR="009134CD" w:rsidRDefault="009134CD" w:rsidP="009134CD">
      <w:pPr>
        <w:spacing w:after="0"/>
        <w:jc w:val="both"/>
        <w:rPr>
          <w:rFonts w:ascii="Arial" w:hAnsi="Arial" w:cs="Arial"/>
          <w:sz w:val="22"/>
          <w:szCs w:val="22"/>
          <w:lang w:val="en-GB"/>
        </w:rPr>
      </w:pPr>
    </w:p>
    <w:p w:rsidR="009134CD" w:rsidRDefault="009134CD" w:rsidP="009134CD">
      <w:pPr>
        <w:spacing w:after="0"/>
        <w:jc w:val="both"/>
        <w:rPr>
          <w:rFonts w:ascii="Arial" w:hAnsi="Arial" w:cs="Arial"/>
          <w:sz w:val="22"/>
          <w:szCs w:val="22"/>
          <w:lang w:val="en-GB"/>
        </w:rPr>
      </w:pPr>
    </w:p>
    <w:p w:rsidR="009134CD" w:rsidRPr="009134CD" w:rsidRDefault="009134CD" w:rsidP="009134CD">
      <w:pPr>
        <w:spacing w:after="0"/>
        <w:jc w:val="both"/>
        <w:rPr>
          <w:rFonts w:ascii="Arial" w:hAnsi="Arial" w:cs="Arial"/>
          <w:sz w:val="22"/>
          <w:szCs w:val="22"/>
          <w:lang w:val="en-GB"/>
        </w:rPr>
      </w:pPr>
    </w:p>
    <w:p w:rsidR="009134CD" w:rsidRPr="00352932" w:rsidRDefault="009134CD" w:rsidP="009134CD">
      <w:pPr>
        <w:spacing w:after="0"/>
        <w:jc w:val="center"/>
        <w:rPr>
          <w:rFonts w:ascii="Arial" w:hAnsi="Arial" w:cs="Arial"/>
          <w:b/>
          <w:sz w:val="28"/>
          <w:szCs w:val="32"/>
          <w:lang w:val="it-IT"/>
        </w:rPr>
      </w:pPr>
      <w:r w:rsidRPr="00352932">
        <w:rPr>
          <w:rFonts w:ascii="Arial" w:hAnsi="Arial" w:cs="Arial"/>
          <w:b/>
          <w:sz w:val="28"/>
          <w:szCs w:val="32"/>
          <w:lang w:val="it-IT"/>
        </w:rPr>
        <w:lastRenderedPageBreak/>
        <w:t>L’EPEE 1839 – La prima manifattura orologiera svizzera</w:t>
      </w:r>
    </w:p>
    <w:p w:rsidR="009134CD" w:rsidRPr="00352932" w:rsidRDefault="009134CD" w:rsidP="009134CD">
      <w:pPr>
        <w:spacing w:after="0"/>
        <w:jc w:val="center"/>
        <w:rPr>
          <w:rFonts w:ascii="Arial" w:hAnsi="Arial" w:cs="Arial"/>
          <w:b/>
          <w:sz w:val="28"/>
          <w:szCs w:val="32"/>
          <w:lang w:val="it-IT"/>
        </w:rPr>
      </w:pPr>
    </w:p>
    <w:p w:rsidR="009134CD" w:rsidRDefault="009134CD" w:rsidP="009134CD">
      <w:pPr>
        <w:pStyle w:val="Sansinterligne"/>
        <w:jc w:val="both"/>
        <w:rPr>
          <w:rFonts w:ascii="Arial" w:hAnsi="Arial" w:cs="Arial"/>
          <w:sz w:val="22"/>
          <w:szCs w:val="22"/>
          <w:lang w:val="it-IT"/>
        </w:rPr>
      </w:pPr>
      <w:r w:rsidRPr="00352932">
        <w:rPr>
          <w:rFonts w:ascii="Arial" w:hAnsi="Arial" w:cs="Arial"/>
          <w:sz w:val="22"/>
          <w:szCs w:val="22"/>
          <w:lang w:val="it-IT"/>
        </w:rPr>
        <w:t>Da più di 175 anni, L’Epée è all’avanguardia dell'industria orologiera. È attualmente l’unica manifattura svizzera specializzata nella fabbricazione di orologi di alta gamma. L’Epée fu fondata nel 1839, inizialmente per la produzione di componenti per carillon e orologi da polso, da Auguste L’Epée, che aprì l’attività nei pressi di Besançon, in Francia. L’Epée si distingueva per la realizzazione esclusivamente manuale di tutti i componenti.</w:t>
      </w:r>
    </w:p>
    <w:p w:rsidR="009134CD" w:rsidRPr="00352932" w:rsidRDefault="009134CD" w:rsidP="009134CD">
      <w:pPr>
        <w:pStyle w:val="Sansinterligne"/>
        <w:jc w:val="both"/>
        <w:rPr>
          <w:rFonts w:ascii="Arial" w:hAnsi="Arial" w:cs="Arial"/>
          <w:sz w:val="22"/>
          <w:szCs w:val="22"/>
          <w:lang w:val="it-IT"/>
        </w:rPr>
      </w:pPr>
    </w:p>
    <w:p w:rsidR="009134CD" w:rsidRDefault="009134CD" w:rsidP="009134CD">
      <w:pPr>
        <w:pStyle w:val="Sansinterligne"/>
        <w:jc w:val="both"/>
        <w:rPr>
          <w:rFonts w:ascii="Arial" w:hAnsi="Arial" w:cs="Arial"/>
          <w:sz w:val="22"/>
          <w:szCs w:val="22"/>
          <w:lang w:val="it-IT"/>
        </w:rPr>
      </w:pPr>
      <w:r w:rsidRPr="00352932">
        <w:rPr>
          <w:rFonts w:ascii="Arial" w:hAnsi="Arial" w:cs="Arial"/>
          <w:sz w:val="22"/>
          <w:szCs w:val="22"/>
          <w:lang w:val="it-IT"/>
        </w:rPr>
        <w:t>A partire dal 1850 L’Epée divenne pioniere nella produzione di scappamenti su ‘piattaforma’, in particolare nella creazione di regolatori per sveglie, orologi da tavolo e orologi musicali. Nel 1877 produceva 24.000 scappamenti su piattaforma all’anno. La manifattura divenne famosa per la sua specializzazione, grazie a numerosi brevetti per scappamenti speciali, come lo scappamento antiurto, con auto-avviamento e a forza costante, e come fornitore principale di vari orologiai celebri dell’epoca. L’Epée si è aggiudicata numerosi primi premi a mostre internazionali.</w:t>
      </w:r>
    </w:p>
    <w:p w:rsidR="009134CD" w:rsidRPr="00352932" w:rsidRDefault="009134CD" w:rsidP="009134CD">
      <w:pPr>
        <w:pStyle w:val="Sansinterligne"/>
        <w:jc w:val="both"/>
        <w:rPr>
          <w:rFonts w:ascii="Arial" w:hAnsi="Arial" w:cs="Arial"/>
          <w:sz w:val="22"/>
          <w:szCs w:val="22"/>
          <w:lang w:val="it-IT"/>
        </w:rPr>
      </w:pPr>
    </w:p>
    <w:p w:rsidR="009134CD" w:rsidRDefault="009134CD" w:rsidP="009134CD">
      <w:pPr>
        <w:pStyle w:val="Sansinterligne"/>
        <w:jc w:val="both"/>
        <w:rPr>
          <w:rFonts w:ascii="Arial" w:hAnsi="Arial" w:cs="Arial"/>
          <w:sz w:val="22"/>
          <w:szCs w:val="22"/>
          <w:lang w:val="it-IT"/>
        </w:rPr>
      </w:pPr>
      <w:r w:rsidRPr="00352932">
        <w:rPr>
          <w:rFonts w:ascii="Arial" w:hAnsi="Arial" w:cs="Arial"/>
          <w:sz w:val="22"/>
          <w:szCs w:val="22"/>
          <w:lang w:val="it-IT"/>
        </w:rPr>
        <w:t>Nel 20° secolo la manifattura deve gran parte della propria fama ai suoi straordinari orologi da carrozza. Per molti l’orologio firmato L’Epée era simbolo di potere e prestigio, nonché il regalo solitamente scelto dai funzionari del governo francese per gli ospiti d’élite. Nel 1976, quando il velivolo supersonico Concorde entrò in servizio, gli orologi da parete L’Epée furono scelti per l’arredamento delle cabine, offrendo ai passeggeri informazioni visive sull’ora. Nel 1994 L’Epée mostrò il suo desiderio di sfida realizzando l’orologio più grande al mondo con pendolo compensato, il Giant Regulator. Con un’altezza di 2,2 metri e un peso di 1,2 tonnellate – il solo movimento meccanico pesa 120 kg – questa creazione ha richiesto 2.800 ore di lavoro manuale.</w:t>
      </w:r>
    </w:p>
    <w:p w:rsidR="009134CD" w:rsidRPr="00352932" w:rsidRDefault="009134CD" w:rsidP="009134CD">
      <w:pPr>
        <w:pStyle w:val="Sansinterligne"/>
        <w:jc w:val="both"/>
        <w:rPr>
          <w:rFonts w:ascii="Arial" w:hAnsi="Arial" w:cs="Arial"/>
          <w:sz w:val="22"/>
          <w:szCs w:val="22"/>
          <w:lang w:val="it-IT"/>
        </w:rPr>
      </w:pPr>
    </w:p>
    <w:p w:rsidR="009134CD" w:rsidRPr="00352932" w:rsidRDefault="009134CD" w:rsidP="009134CD">
      <w:pPr>
        <w:pStyle w:val="Sansinterligne"/>
        <w:jc w:val="both"/>
        <w:rPr>
          <w:rFonts w:ascii="Arial" w:hAnsi="Arial" w:cs="Arial"/>
          <w:sz w:val="22"/>
          <w:szCs w:val="22"/>
          <w:lang w:val="it-IT"/>
        </w:rPr>
      </w:pPr>
      <w:r w:rsidRPr="00352932">
        <w:rPr>
          <w:rFonts w:ascii="Arial" w:hAnsi="Arial" w:cs="Arial"/>
          <w:sz w:val="22"/>
          <w:szCs w:val="22"/>
          <w:lang w:val="it-IT"/>
        </w:rPr>
        <w:t>L’Epée ha attualmente sede a Delémont, sulle montagne del Giura, in Svizzera. Sotto la guida del CEO Arnaud Nicolas, L’Epée 1839 ha messo a punto un’eccezionale collezione di orologi da tavolo, che include una gamma di classici e sofisticati orologi da carrozza, orologi dal design contemporaneo (Le Duel) e orologi dallo stile minimale e avanguardistico (La Tour). Gli orologi L’Epée dispongono di complicazioni come i secondi retrogradi, gli indicatori di riserva di carica, i calendari perpetui, i tourbillon e i meccanismi con suoneria – tutti progettati e realizzati internamente alla manifattura. La riserva di carica di lunghissima durata è diventata una caratteristica del brand, insieme alle finiture straordinariamente ricercate.</w:t>
      </w:r>
    </w:p>
    <w:p w:rsidR="009134CD" w:rsidRDefault="009134CD" w:rsidP="009134CD">
      <w:pPr>
        <w:jc w:val="both"/>
        <w:rPr>
          <w:rFonts w:ascii="Arial" w:hAnsi="Arial" w:cs="Arial"/>
          <w:sz w:val="22"/>
          <w:szCs w:val="22"/>
          <w:lang w:val="fr-CH"/>
        </w:rPr>
      </w:pPr>
    </w:p>
    <w:p w:rsidR="009134CD" w:rsidRDefault="009134CD" w:rsidP="009134CD">
      <w:pPr>
        <w:jc w:val="both"/>
        <w:rPr>
          <w:rFonts w:ascii="Arial" w:hAnsi="Arial" w:cs="Arial"/>
          <w:sz w:val="22"/>
          <w:szCs w:val="22"/>
          <w:lang w:val="fr-CH"/>
        </w:rPr>
      </w:pPr>
    </w:p>
    <w:p w:rsidR="009134CD" w:rsidRDefault="009134CD" w:rsidP="009134CD">
      <w:pPr>
        <w:jc w:val="both"/>
        <w:rPr>
          <w:rFonts w:ascii="Arial" w:hAnsi="Arial" w:cs="Arial"/>
          <w:sz w:val="22"/>
          <w:szCs w:val="22"/>
          <w:lang w:val="fr-CH"/>
        </w:rPr>
      </w:pPr>
    </w:p>
    <w:p w:rsidR="009134CD" w:rsidRDefault="009134CD" w:rsidP="009134CD">
      <w:pPr>
        <w:jc w:val="both"/>
        <w:rPr>
          <w:rFonts w:ascii="Arial" w:hAnsi="Arial" w:cs="Arial"/>
          <w:sz w:val="22"/>
          <w:szCs w:val="22"/>
          <w:lang w:val="fr-CH"/>
        </w:rPr>
      </w:pPr>
    </w:p>
    <w:p w:rsidR="009134CD" w:rsidRDefault="009134CD" w:rsidP="009134CD">
      <w:pPr>
        <w:jc w:val="both"/>
        <w:rPr>
          <w:rFonts w:ascii="Arial" w:hAnsi="Arial" w:cs="Arial"/>
          <w:sz w:val="22"/>
          <w:szCs w:val="22"/>
          <w:lang w:val="fr-CH"/>
        </w:rPr>
      </w:pPr>
    </w:p>
    <w:p w:rsidR="009134CD" w:rsidRDefault="009134CD" w:rsidP="009134CD">
      <w:pPr>
        <w:jc w:val="both"/>
        <w:rPr>
          <w:rFonts w:ascii="Arial" w:hAnsi="Arial" w:cs="Arial"/>
          <w:sz w:val="22"/>
          <w:szCs w:val="22"/>
          <w:lang w:val="fr-CH"/>
        </w:rPr>
      </w:pPr>
    </w:p>
    <w:p w:rsidR="009134CD" w:rsidRDefault="009134CD" w:rsidP="009134CD">
      <w:pPr>
        <w:jc w:val="both"/>
        <w:rPr>
          <w:rFonts w:ascii="Arial" w:hAnsi="Arial" w:cs="Arial"/>
          <w:sz w:val="22"/>
          <w:szCs w:val="22"/>
          <w:lang w:val="fr-CH"/>
        </w:rPr>
      </w:pPr>
    </w:p>
    <w:p w:rsidR="009134CD" w:rsidRDefault="009134CD" w:rsidP="009134CD">
      <w:pPr>
        <w:jc w:val="both"/>
        <w:rPr>
          <w:rFonts w:ascii="Arial" w:hAnsi="Arial" w:cs="Arial"/>
          <w:sz w:val="22"/>
          <w:szCs w:val="22"/>
          <w:lang w:val="fr-CH"/>
        </w:rPr>
      </w:pPr>
    </w:p>
    <w:p w:rsidR="009134CD" w:rsidRDefault="009134CD" w:rsidP="009134CD">
      <w:pPr>
        <w:jc w:val="both"/>
        <w:rPr>
          <w:rFonts w:ascii="Arial" w:hAnsi="Arial" w:cs="Arial"/>
          <w:sz w:val="22"/>
          <w:szCs w:val="22"/>
          <w:lang w:val="fr-CH"/>
        </w:rPr>
      </w:pPr>
    </w:p>
    <w:p w:rsidR="009134CD" w:rsidRPr="00D07C22" w:rsidRDefault="009134CD" w:rsidP="009134CD">
      <w:pPr>
        <w:jc w:val="both"/>
        <w:rPr>
          <w:rFonts w:ascii="Arial" w:hAnsi="Arial" w:cs="Arial"/>
          <w:sz w:val="22"/>
          <w:szCs w:val="22"/>
          <w:lang w:val="fr-CH"/>
        </w:rPr>
      </w:pPr>
    </w:p>
    <w:p w:rsidR="009134CD" w:rsidRPr="00D07C22" w:rsidRDefault="009134CD" w:rsidP="009134CD">
      <w:pPr>
        <w:jc w:val="both"/>
        <w:rPr>
          <w:rFonts w:ascii="Arial" w:hAnsi="Arial" w:cs="Arial"/>
          <w:sz w:val="22"/>
          <w:szCs w:val="22"/>
          <w:lang w:val="fr-CH"/>
        </w:rPr>
      </w:pPr>
    </w:p>
    <w:p w:rsidR="009134CD" w:rsidRPr="001947FD" w:rsidRDefault="009134CD" w:rsidP="009134CD">
      <w:pPr>
        <w:spacing w:after="0"/>
        <w:jc w:val="center"/>
        <w:rPr>
          <w:rFonts w:ascii="Arial" w:hAnsi="Arial" w:cs="Arial"/>
          <w:b/>
          <w:sz w:val="28"/>
          <w:szCs w:val="22"/>
          <w:lang w:val="fr-CH" w:bidi="it-IT"/>
        </w:rPr>
      </w:pPr>
      <w:r w:rsidRPr="001947FD">
        <w:rPr>
          <w:rFonts w:ascii="Arial" w:hAnsi="Arial" w:cs="Arial"/>
          <w:b/>
          <w:bCs/>
          <w:sz w:val="28"/>
          <w:szCs w:val="22"/>
          <w:lang w:val="fr-CH" w:bidi="it-IT"/>
        </w:rPr>
        <w:lastRenderedPageBreak/>
        <w:t>MB&amp;F – La Nascita di un Laboratorio Concettuale</w:t>
      </w:r>
    </w:p>
    <w:p w:rsidR="009134CD" w:rsidRPr="001947FD" w:rsidRDefault="009134CD" w:rsidP="009134CD">
      <w:pPr>
        <w:spacing w:after="0"/>
        <w:jc w:val="both"/>
        <w:rPr>
          <w:rFonts w:ascii="Arial" w:hAnsi="Arial" w:cs="Arial"/>
          <w:i/>
          <w:sz w:val="28"/>
          <w:szCs w:val="22"/>
          <w:lang w:val="fr-CH" w:bidi="it-IT"/>
        </w:rPr>
      </w:pPr>
    </w:p>
    <w:p w:rsidR="009134CD" w:rsidRPr="001947FD" w:rsidRDefault="009134CD" w:rsidP="009134CD">
      <w:pPr>
        <w:spacing w:after="0"/>
        <w:jc w:val="both"/>
        <w:rPr>
          <w:rFonts w:ascii="Arial" w:hAnsi="Arial" w:cs="Arial"/>
          <w:iCs/>
          <w:sz w:val="22"/>
          <w:szCs w:val="22"/>
          <w:lang w:val="fr-CH" w:bidi="it-IT"/>
        </w:rPr>
      </w:pPr>
      <w:r w:rsidRPr="001947FD">
        <w:rPr>
          <w:rFonts w:ascii="Arial" w:hAnsi="Arial" w:cs="Arial"/>
          <w:iCs/>
          <w:sz w:val="22"/>
          <w:szCs w:val="22"/>
          <w:lang w:val="fr-CH" w:bidi="it-IT"/>
        </w:rPr>
        <w:t>Il 2019 segna il 14° anno di iper-creatività per MB&amp;F, il primo laboratorio concettuale di orologeria al mondo. Con sedici sorprendenti calibri che formano la base delle Horological Machine e Legacy Machine acclamate dalla critica, MB&amp;F continua a seguire la volontà di Maximilian Büsser, Fondatore e Direttore creativo, di dare vita ad un’arte cinetica tridimensionale decostruendo l’orologeria tradizionale.</w:t>
      </w:r>
    </w:p>
    <w:p w:rsidR="009134CD" w:rsidRPr="001947FD" w:rsidRDefault="009134CD" w:rsidP="009134CD">
      <w:pPr>
        <w:spacing w:after="0"/>
        <w:jc w:val="both"/>
        <w:rPr>
          <w:rFonts w:ascii="Arial" w:hAnsi="Arial" w:cs="Arial"/>
          <w:sz w:val="22"/>
          <w:szCs w:val="22"/>
          <w:lang w:val="fr-CH" w:bidi="it-IT"/>
        </w:rPr>
      </w:pPr>
      <w:r w:rsidRPr="001947FD">
        <w:rPr>
          <w:rFonts w:ascii="Arial" w:hAnsi="Arial" w:cs="Arial"/>
          <w:sz w:val="22"/>
          <w:szCs w:val="22"/>
          <w:lang w:val="fr-CH" w:bidi="it-IT"/>
        </w:rPr>
        <w:br/>
        <w:t>Dopo 15 anni trascorsi nella gestione di prestigiosi marchi dell'orologeria, Maximilian Büsser si è dimesso dal suo incarico di Direttore generale di Harry Winston per creare MB&amp;F – Maximilian Büsser &amp; Friends. MB&amp;F è un laboratorio concettuale d’arte e microingegneria dedicato alla progettazione e realizzazione di piccole serie di concept radicali nel quale si riuniscono professionisti orologiai di talento che Büsser rispetta e con i quali ama lavorare.</w:t>
      </w:r>
      <w:r w:rsidRPr="001947FD">
        <w:rPr>
          <w:rFonts w:ascii="Arial" w:hAnsi="Arial" w:cs="Arial"/>
          <w:sz w:val="22"/>
          <w:szCs w:val="22"/>
          <w:lang w:val="fr-CH" w:bidi="it-IT"/>
        </w:rPr>
        <w:br/>
      </w:r>
      <w:r w:rsidRPr="001947FD">
        <w:rPr>
          <w:rFonts w:ascii="Arial" w:hAnsi="Arial" w:cs="Arial"/>
          <w:sz w:val="22"/>
          <w:szCs w:val="22"/>
          <w:lang w:val="fr-CH" w:bidi="it-IT"/>
        </w:rPr>
        <w:br/>
        <w:t xml:space="preserve">Nel 2007 MB&amp;F ha presentato la prima Horological Machine, HM1. La sua cassa tridimensionale scolpita e le magnifiche finiture del meccanismo hanno definito gli standard per le idiosincratiche creazioni successive: tutte "macchine" che raccontano il tempo anziché semplicemente indicarlo. Le Horological Machines hanno esplorato lo spazio (HM2, HM3, HM6), il cielo (HM4,HM9), la strada (HM5, HMX, HM8) e l’acqua (HM7). </w:t>
      </w:r>
    </w:p>
    <w:p w:rsidR="009134CD" w:rsidRPr="001947FD" w:rsidRDefault="009134CD" w:rsidP="009134CD">
      <w:pPr>
        <w:spacing w:after="0"/>
        <w:jc w:val="both"/>
        <w:rPr>
          <w:rFonts w:ascii="Arial" w:hAnsi="Arial" w:cs="Arial"/>
          <w:sz w:val="22"/>
          <w:szCs w:val="22"/>
          <w:lang w:val="fr-CH" w:bidi="it-IT"/>
        </w:rPr>
      </w:pPr>
      <w:r w:rsidRPr="009134CD">
        <w:rPr>
          <w:rFonts w:ascii="Arial" w:hAnsi="Arial" w:cs="Arial"/>
          <w:sz w:val="22"/>
          <w:szCs w:val="22"/>
          <w:lang w:val="fr-CH" w:bidi="it-IT"/>
        </w:rPr>
        <w:br/>
      </w:r>
      <w:r w:rsidRPr="001947FD">
        <w:rPr>
          <w:rFonts w:ascii="Arial" w:hAnsi="Arial" w:cs="Arial"/>
          <w:sz w:val="22"/>
          <w:szCs w:val="22"/>
          <w:lang w:bidi="it-IT"/>
        </w:rPr>
        <w:t>Nel 2011, MB&amp;F lancia una nuova collezione dalla cassa rotonda chiamata Legacy Machine. Si tratta di una collezione più classica (per gli standard di MB&amp;F…) ispirata alla tradizione del XIX secolo, da cui prende e reinterpreta le complicazioni dei più grandi Maestri Orologiai della storia per trasformarli in opere d’arte contemporanea. Alla LM1 e LM2 segue la LM101, la prima Machine MB&amp;F a racchiudere un movimento sviluppato interamente in-house. LM Perpetual e LM Split Escapement hanno portato la collezione ancora più lontano. MB&amp;F alterna la presentazione di Horological Machine contemporanee e risolutamente anticonvenzionali a quella delle Legacy Machine, ispirate al passato.</w:t>
      </w:r>
      <w:r w:rsidRPr="001947FD">
        <w:rPr>
          <w:rFonts w:ascii="Arial" w:hAnsi="Arial" w:cs="Arial"/>
          <w:bCs/>
          <w:sz w:val="22"/>
          <w:szCs w:val="22"/>
          <w:lang w:val="it-IT"/>
        </w:rPr>
        <w:t xml:space="preserve"> </w:t>
      </w:r>
      <w:r w:rsidRPr="001947FD">
        <w:rPr>
          <w:rFonts w:ascii="Arial" w:hAnsi="Arial" w:cs="Arial"/>
          <w:bCs/>
          <w:sz w:val="22"/>
          <w:szCs w:val="22"/>
          <w:lang w:val="fr-CH" w:bidi="it-IT"/>
        </w:rPr>
        <w:t>Il 2019 segna una svolta epocale con la creazione della prima macchina orologiera MB&amp;F interamente dedicata alle donne: la LM FlyingT.</w:t>
      </w:r>
    </w:p>
    <w:p w:rsidR="009134CD" w:rsidRPr="001947FD" w:rsidRDefault="009134CD" w:rsidP="009134CD">
      <w:pPr>
        <w:spacing w:after="0"/>
        <w:jc w:val="both"/>
        <w:rPr>
          <w:rFonts w:ascii="Arial" w:hAnsi="Arial" w:cs="Arial"/>
          <w:sz w:val="22"/>
          <w:szCs w:val="22"/>
          <w:lang w:val="fr-CH" w:bidi="it-IT"/>
        </w:rPr>
      </w:pPr>
    </w:p>
    <w:p w:rsidR="009134CD" w:rsidRPr="001947FD" w:rsidRDefault="009134CD" w:rsidP="009134CD">
      <w:pPr>
        <w:spacing w:after="0"/>
        <w:jc w:val="both"/>
        <w:rPr>
          <w:rFonts w:ascii="Arial" w:hAnsi="Arial" w:cs="Arial"/>
          <w:sz w:val="22"/>
          <w:szCs w:val="22"/>
          <w:lang w:bidi="it-IT"/>
        </w:rPr>
      </w:pPr>
      <w:r w:rsidRPr="001947FD">
        <w:rPr>
          <w:rFonts w:ascii="Arial" w:hAnsi="Arial" w:cs="Arial"/>
          <w:sz w:val="22"/>
          <w:szCs w:val="22"/>
          <w:lang w:val="fr-CH" w:bidi="it-IT"/>
        </w:rPr>
        <w:t xml:space="preserve">Poiché F sta per Friends, è del tutto naturale per MB&amp;F sviluppare collaborazioni con gli artisti, orologiai, designer e produttori di cui ha stima. </w:t>
      </w:r>
      <w:r w:rsidRPr="001947FD">
        <w:rPr>
          <w:rFonts w:ascii="Arial" w:hAnsi="Arial" w:cs="Arial"/>
          <w:sz w:val="22"/>
          <w:szCs w:val="22"/>
          <w:lang w:bidi="it-IT"/>
        </w:rPr>
        <w:t>Ne sono nate due nuove categorie di creazioni: Performance Art e Co-creations. Se gli esemplari Performance Art sono macchine MB&amp;F reinterpretate da talenti creativi esterni, gli esemplari Co-creations non sono orologi da polso, ma un altro tipo di macchine, progettate e realizzate da manifatture svizzere uniche a partire da idee e disegni MB&amp;F. Molte di queste Co-creations, come gli orologi creati insieme a L'Epée 1839, descrivono il tempo, mentre le collaborazioni con Reuge e Caran d'Ache hanno generato altre forme di arte meccanica.</w:t>
      </w:r>
    </w:p>
    <w:p w:rsidR="009134CD" w:rsidRPr="001947FD" w:rsidRDefault="009134CD" w:rsidP="009134CD">
      <w:pPr>
        <w:spacing w:after="0"/>
        <w:jc w:val="both"/>
        <w:rPr>
          <w:rFonts w:ascii="Arial" w:hAnsi="Arial" w:cs="Arial"/>
          <w:sz w:val="22"/>
          <w:szCs w:val="22"/>
          <w:lang w:bidi="it-IT"/>
        </w:rPr>
      </w:pPr>
    </w:p>
    <w:p w:rsidR="009134CD" w:rsidRPr="001947FD" w:rsidRDefault="009134CD" w:rsidP="009134CD">
      <w:pPr>
        <w:spacing w:after="0"/>
        <w:jc w:val="both"/>
        <w:rPr>
          <w:rFonts w:ascii="Arial" w:hAnsi="Arial" w:cs="Arial"/>
          <w:sz w:val="22"/>
          <w:szCs w:val="22"/>
          <w:lang w:bidi="it-IT"/>
        </w:rPr>
      </w:pPr>
      <w:r w:rsidRPr="001947FD">
        <w:rPr>
          <w:rFonts w:ascii="Arial" w:hAnsi="Arial" w:cs="Arial"/>
          <w:sz w:val="22"/>
          <w:szCs w:val="22"/>
          <w:lang w:bidi="it-IT"/>
        </w:rPr>
        <w:t>Per dare a tutte queste macchine uno scenario adeguato, invece che in una classica vetrina Büsser ha avuto l'idea di collocarle in una galleria d'arte, accompagnate da varie forme di arte meccanica create da altri artisti. Nasce così la prima MB&amp;F M.A.D.Gallery (M.A.D.è l’acronimo di Mechanical Art Devices) a Ginevra, cui faranno seguito le M.A.D.Gallery di Taipei, Dubai e Hong Kong.</w:t>
      </w:r>
    </w:p>
    <w:p w:rsidR="009134CD" w:rsidRDefault="009134CD" w:rsidP="009134CD">
      <w:pPr>
        <w:spacing w:after="0"/>
        <w:jc w:val="both"/>
        <w:rPr>
          <w:rFonts w:ascii="Arial" w:hAnsi="Arial" w:cs="Arial"/>
          <w:sz w:val="22"/>
          <w:szCs w:val="22"/>
          <w:lang w:bidi="it-IT"/>
        </w:rPr>
      </w:pPr>
    </w:p>
    <w:p w:rsidR="009134CD" w:rsidRDefault="009134CD" w:rsidP="009134CD">
      <w:pPr>
        <w:spacing w:after="0"/>
        <w:jc w:val="both"/>
        <w:rPr>
          <w:rFonts w:ascii="Arial" w:hAnsi="Arial" w:cs="Arial"/>
          <w:sz w:val="22"/>
          <w:szCs w:val="22"/>
          <w:lang w:bidi="it-IT"/>
        </w:rPr>
      </w:pPr>
    </w:p>
    <w:p w:rsidR="009134CD" w:rsidRDefault="009134CD" w:rsidP="009134CD">
      <w:pPr>
        <w:spacing w:after="0"/>
        <w:jc w:val="both"/>
        <w:rPr>
          <w:rFonts w:ascii="Arial" w:hAnsi="Arial" w:cs="Arial"/>
          <w:sz w:val="22"/>
          <w:szCs w:val="22"/>
          <w:lang w:bidi="it-IT"/>
        </w:rPr>
      </w:pPr>
    </w:p>
    <w:p w:rsidR="009134CD" w:rsidRDefault="009134CD" w:rsidP="009134CD">
      <w:pPr>
        <w:spacing w:after="0"/>
        <w:jc w:val="both"/>
        <w:rPr>
          <w:rFonts w:ascii="Arial" w:hAnsi="Arial" w:cs="Arial"/>
          <w:sz w:val="22"/>
          <w:szCs w:val="22"/>
          <w:lang w:bidi="it-IT"/>
        </w:rPr>
      </w:pPr>
    </w:p>
    <w:p w:rsidR="009134CD" w:rsidRDefault="009134CD" w:rsidP="009134CD">
      <w:pPr>
        <w:spacing w:after="0"/>
        <w:jc w:val="both"/>
        <w:rPr>
          <w:rFonts w:ascii="Arial" w:hAnsi="Arial" w:cs="Arial"/>
          <w:sz w:val="22"/>
          <w:szCs w:val="22"/>
          <w:lang w:bidi="it-IT"/>
        </w:rPr>
      </w:pPr>
    </w:p>
    <w:p w:rsidR="009134CD" w:rsidRDefault="009134CD" w:rsidP="009134CD">
      <w:pPr>
        <w:spacing w:after="0"/>
        <w:jc w:val="both"/>
        <w:rPr>
          <w:rFonts w:ascii="Arial" w:hAnsi="Arial" w:cs="Arial"/>
          <w:sz w:val="22"/>
          <w:szCs w:val="22"/>
          <w:lang w:bidi="it-IT"/>
        </w:rPr>
      </w:pPr>
    </w:p>
    <w:p w:rsidR="009134CD" w:rsidRPr="001947FD" w:rsidRDefault="009134CD" w:rsidP="009134CD">
      <w:pPr>
        <w:spacing w:after="0"/>
        <w:jc w:val="both"/>
        <w:rPr>
          <w:rFonts w:ascii="Arial" w:hAnsi="Arial" w:cs="Arial"/>
          <w:sz w:val="22"/>
          <w:szCs w:val="22"/>
          <w:lang w:bidi="it-IT"/>
        </w:rPr>
      </w:pPr>
    </w:p>
    <w:p w:rsidR="009134CD" w:rsidRPr="001947FD" w:rsidRDefault="009134CD" w:rsidP="009134CD">
      <w:pPr>
        <w:spacing w:after="0"/>
        <w:jc w:val="both"/>
        <w:rPr>
          <w:rFonts w:ascii="Arial" w:hAnsi="Arial" w:cs="Arial"/>
          <w:iCs/>
          <w:sz w:val="22"/>
          <w:szCs w:val="22"/>
          <w:lang w:val="fr-CH" w:bidi="it-IT"/>
        </w:rPr>
      </w:pPr>
      <w:r w:rsidRPr="001947FD">
        <w:rPr>
          <w:rFonts w:ascii="Arial" w:hAnsi="Arial" w:cs="Arial"/>
          <w:sz w:val="22"/>
          <w:szCs w:val="22"/>
          <w:lang w:val="fr-CH" w:bidi="it-IT"/>
        </w:rPr>
        <w:lastRenderedPageBreak/>
        <w:t>E a ricordarci la natura innovativa del percorso compiuto sin qui da MB&amp;F ci sono stati insigni riconoscimenti. Per non nominarne che alcuni, citiamo i ben quattro premi Grand Prix del famoso Grand Prix d'Horlogerie de Genève: nel 2016 la LM Perpetual ha vinto il Grand Prix per il Migliore orologio da polso con calendario; nel 2012 la Legacy Machine N. 1 ha ricevuto sia il Premio del pubblico (votato dagli appassionati di orologeria) che il Premio per il Migliore orologio da polso da uomo (votato dalla giuria professionale). Al Grand Prix del 2010 MB&amp;F ha vinto il premio Migliore concept e orologio di design per l'HM4 Thunderbolt. Nel 2015 MB&amp;F ha ricevuto per l'HM6 Space Pirate il riconoscimento "Red Dot: Best of the Best", il premio di categoria più elevata agli internazionali Red Dot Awards.</w:t>
      </w:r>
    </w:p>
    <w:p w:rsidR="009134CD" w:rsidRPr="001947FD" w:rsidRDefault="009134CD" w:rsidP="009134CD">
      <w:pPr>
        <w:jc w:val="both"/>
        <w:rPr>
          <w:rFonts w:ascii="Arial" w:hAnsi="Arial" w:cs="Arial"/>
          <w:sz w:val="22"/>
          <w:szCs w:val="22"/>
          <w:lang w:val="it-IT"/>
        </w:rPr>
      </w:pPr>
    </w:p>
    <w:p w:rsidR="009134CD" w:rsidRPr="009134CD" w:rsidRDefault="009134CD" w:rsidP="009134CD">
      <w:pPr>
        <w:spacing w:after="0"/>
        <w:jc w:val="both"/>
        <w:rPr>
          <w:rFonts w:ascii="Arial" w:hAnsi="Arial" w:cs="Arial"/>
          <w:sz w:val="22"/>
          <w:szCs w:val="22"/>
          <w:lang w:val="fr-CH"/>
        </w:rPr>
      </w:pPr>
    </w:p>
    <w:sectPr w:rsidR="009134CD" w:rsidRPr="009134CD" w:rsidSect="00F5565F">
      <w:headerReference w:type="even" r:id="rId6"/>
      <w:headerReference w:type="default" r:id="rId7"/>
      <w:footerReference w:type="even" r:id="rId8"/>
      <w:footerReference w:type="default" r:id="rId9"/>
      <w:headerReference w:type="first" r:id="rId10"/>
      <w:footerReference w:type="first" r:id="rId11"/>
      <w:pgSz w:w="11900" w:h="16840"/>
      <w:pgMar w:top="1985" w:right="1128" w:bottom="1440" w:left="1276" w:header="709" w:footer="19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E2" w:rsidRDefault="00CE17D4">
      <w:pPr>
        <w:spacing w:after="0"/>
      </w:pPr>
      <w:r>
        <w:separator/>
      </w:r>
    </w:p>
  </w:endnote>
  <w:endnote w:type="continuationSeparator" w:id="0">
    <w:p w:rsidR="004B7BE2" w:rsidRDefault="00CE17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Light">
    <w:altName w:val="Century Gothic"/>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025" w:rsidRDefault="005C70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4D8" w:rsidRPr="009134CD" w:rsidRDefault="00CE17D4" w:rsidP="00AB64D8">
    <w:pPr>
      <w:pStyle w:val="WW-Default"/>
      <w:spacing w:after="283"/>
      <w:rPr>
        <w:rFonts w:ascii="Arial" w:hAnsi="Arial" w:cs="Arial"/>
        <w:sz w:val="18"/>
        <w:szCs w:val="18"/>
        <w:lang w:val="fr-CH"/>
      </w:rPr>
    </w:pPr>
    <w:r w:rsidRPr="000864EA">
      <w:rPr>
        <w:rFonts w:ascii="Arial" w:hAnsi="Arial" w:cs="Arial"/>
        <w:sz w:val="18"/>
        <w:szCs w:val="18"/>
        <w:lang w:val="it-IT"/>
      </w:rPr>
      <w:t xml:space="preserve">Per ulteriori informazioni contattare: </w:t>
    </w:r>
    <w:r w:rsidRPr="000864EA">
      <w:rPr>
        <w:rFonts w:ascii="Arial" w:hAnsi="Arial" w:cs="Arial"/>
        <w:sz w:val="18"/>
        <w:szCs w:val="18"/>
        <w:lang w:val="it-IT"/>
      </w:rPr>
      <w:br/>
    </w:r>
    <w:r w:rsidR="005C7025">
      <w:rPr>
        <w:rFonts w:ascii="Arial" w:hAnsi="Arial" w:cs="Arial"/>
        <w:sz w:val="18"/>
        <w:szCs w:val="18"/>
        <w:lang w:val="it-IT"/>
      </w:rPr>
      <w:t>Lauriane Marchand, L’Epée 1839, Brand of SWIZA SA Manufacture, Rue Saint-Maurice 1, 2800 Deléméont</w:t>
    </w:r>
    <w:r w:rsidRPr="000864EA">
      <w:rPr>
        <w:rFonts w:ascii="Arial" w:hAnsi="Arial" w:cs="Arial"/>
        <w:sz w:val="18"/>
        <w:szCs w:val="18"/>
        <w:lang w:val="it-IT"/>
      </w:rPr>
      <w:t xml:space="preserve">, Svizzera </w:t>
    </w:r>
    <w:r w:rsidRPr="000864EA">
      <w:rPr>
        <w:rFonts w:ascii="Arial" w:hAnsi="Arial" w:cs="Arial"/>
        <w:sz w:val="18"/>
        <w:szCs w:val="18"/>
        <w:lang w:val="it-IT"/>
      </w:rPr>
      <w:br/>
      <w:t xml:space="preserve">Email: </w:t>
    </w:r>
    <w:r w:rsidR="005C7025">
      <w:rPr>
        <w:rFonts w:ascii="Arial" w:hAnsi="Arial" w:cs="Arial"/>
        <w:sz w:val="18"/>
        <w:szCs w:val="18"/>
        <w:lang w:val="it-IT"/>
      </w:rPr>
      <w:t>marketing</w:t>
    </w:r>
    <w:r w:rsidRPr="000864EA">
      <w:rPr>
        <w:rFonts w:ascii="Arial" w:hAnsi="Arial" w:cs="Arial"/>
        <w:sz w:val="18"/>
        <w:szCs w:val="18"/>
        <w:lang w:val="it-IT"/>
      </w:rPr>
      <w:t>@</w:t>
    </w:r>
    <w:r w:rsidR="005C7025">
      <w:rPr>
        <w:rFonts w:ascii="Arial" w:hAnsi="Arial" w:cs="Arial"/>
        <w:sz w:val="18"/>
        <w:szCs w:val="18"/>
        <w:lang w:val="it-IT"/>
      </w:rPr>
      <w:t>swiza.ch</w:t>
    </w:r>
    <w:r w:rsidRPr="000864EA">
      <w:rPr>
        <w:rFonts w:ascii="Arial" w:hAnsi="Arial" w:cs="Arial"/>
        <w:sz w:val="18"/>
        <w:szCs w:val="18"/>
        <w:lang w:val="it-IT"/>
      </w:rPr>
      <w:t xml:space="preserve"> </w:t>
    </w:r>
    <w:r w:rsidR="005C7025">
      <w:rPr>
        <w:rFonts w:ascii="Arial" w:hAnsi="Arial" w:cs="Arial"/>
        <w:sz w:val="18"/>
        <w:szCs w:val="18"/>
        <w:lang w:val="it-IT"/>
      </w:rPr>
      <w:t xml:space="preserve">- </w:t>
    </w:r>
    <w:r w:rsidRPr="000864EA">
      <w:rPr>
        <w:rFonts w:ascii="Arial" w:hAnsi="Arial" w:cs="Arial"/>
        <w:sz w:val="18"/>
        <w:szCs w:val="18"/>
        <w:lang w:val="it-IT"/>
      </w:rPr>
      <w:t xml:space="preserve">Tel.: +41 </w:t>
    </w:r>
    <w:r w:rsidR="005C7025">
      <w:rPr>
        <w:rFonts w:ascii="Arial" w:hAnsi="Arial" w:cs="Arial"/>
        <w:sz w:val="18"/>
        <w:szCs w:val="18"/>
        <w:lang w:val="it-IT"/>
      </w:rPr>
      <w:t>32 421 94 10</w:t>
    </w:r>
    <w:bookmarkStart w:id="0" w:name="_GoBack"/>
    <w:bookmarkEnd w:id="0"/>
  </w:p>
  <w:p w:rsidR="00AB64D8" w:rsidRPr="009134CD" w:rsidRDefault="00AB64D8">
    <w:pPr>
      <w:pStyle w:val="Pieddepag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025" w:rsidRDefault="005C70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E2" w:rsidRDefault="00CE17D4">
      <w:pPr>
        <w:spacing w:after="0"/>
      </w:pPr>
      <w:r>
        <w:separator/>
      </w:r>
    </w:p>
  </w:footnote>
  <w:footnote w:type="continuationSeparator" w:id="0">
    <w:p w:rsidR="004B7BE2" w:rsidRDefault="00CE17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025" w:rsidRDefault="005C70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65F" w:rsidRDefault="00CE17D4" w:rsidP="005C7025">
    <w:pPr>
      <w:pStyle w:val="En-tte"/>
      <w:jc w:val="right"/>
    </w:pPr>
    <w:r>
      <w:rPr>
        <w:noProof/>
        <w:lang w:val="fr-CH" w:eastAsia="fr-CH"/>
      </w:rPr>
      <w:drawing>
        <wp:anchor distT="0" distB="0" distL="114300" distR="114300" simplePos="0" relativeHeight="251658240" behindDoc="0" locked="0" layoutInCell="1" allowOverlap="1">
          <wp:simplePos x="0" y="0"/>
          <wp:positionH relativeFrom="column">
            <wp:posOffset>0</wp:posOffset>
          </wp:positionH>
          <wp:positionV relativeFrom="paragraph">
            <wp:posOffset>-254000</wp:posOffset>
          </wp:positionV>
          <wp:extent cx="931545" cy="9315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rPr>
        <w:noProof/>
        <w:lang w:val="fr-CH" w:eastAsia="fr-CH"/>
      </w:rPr>
      <w:drawing>
        <wp:inline distT="0" distB="0" distL="0" distR="0">
          <wp:extent cx="1530985" cy="520700"/>
          <wp:effectExtent l="0" t="0" r="0" b="0"/>
          <wp:docPr id="1069714353" name="Image 2"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20760" name="Picture 1"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30985" cy="520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025" w:rsidRDefault="005C702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EE1"/>
    <w:rsid w:val="00072B68"/>
    <w:rsid w:val="000864EA"/>
    <w:rsid w:val="000C3301"/>
    <w:rsid w:val="002C1CAB"/>
    <w:rsid w:val="00327E44"/>
    <w:rsid w:val="003532D4"/>
    <w:rsid w:val="003B72C0"/>
    <w:rsid w:val="003F3E02"/>
    <w:rsid w:val="004B7BE2"/>
    <w:rsid w:val="005C7025"/>
    <w:rsid w:val="00695F9D"/>
    <w:rsid w:val="009134CD"/>
    <w:rsid w:val="00AB64D8"/>
    <w:rsid w:val="00B1011C"/>
    <w:rsid w:val="00B6279F"/>
    <w:rsid w:val="00B839B3"/>
    <w:rsid w:val="00B9305C"/>
    <w:rsid w:val="00C048A4"/>
    <w:rsid w:val="00C161E0"/>
    <w:rsid w:val="00CE17D4"/>
    <w:rsid w:val="00D22C53"/>
    <w:rsid w:val="00D6083A"/>
    <w:rsid w:val="00DB43DC"/>
    <w:rsid w:val="00DF7B97"/>
    <w:rsid w:val="00E82B85"/>
    <w:rsid w:val="00E97B73"/>
    <w:rsid w:val="00F5565F"/>
    <w:rsid w:val="00F86E8F"/>
    <w:rsid w:val="00FA3EE1"/>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366B0"/>
  <w15:docId w15:val="{96D83D28-030D-44BC-B666-DDA9531D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3F6"/>
    <w:rPr>
      <w:rFonts w:ascii="Avenir Light" w:hAnsi="Avenir Ligh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565F"/>
    <w:pPr>
      <w:tabs>
        <w:tab w:val="center" w:pos="4536"/>
        <w:tab w:val="right" w:pos="9072"/>
      </w:tabs>
      <w:spacing w:after="0"/>
    </w:pPr>
  </w:style>
  <w:style w:type="character" w:customStyle="1" w:styleId="En-tteCar">
    <w:name w:val="En-tête Car"/>
    <w:basedOn w:val="Policepardfaut"/>
    <w:link w:val="En-tte"/>
    <w:uiPriority w:val="99"/>
    <w:rsid w:val="00F5565F"/>
    <w:rPr>
      <w:rFonts w:ascii="Avenir Light" w:hAnsi="Avenir Light"/>
    </w:rPr>
  </w:style>
  <w:style w:type="paragraph" w:styleId="Pieddepage">
    <w:name w:val="footer"/>
    <w:basedOn w:val="Normal"/>
    <w:link w:val="PieddepageCar"/>
    <w:uiPriority w:val="99"/>
    <w:unhideWhenUsed/>
    <w:rsid w:val="00F5565F"/>
    <w:pPr>
      <w:tabs>
        <w:tab w:val="center" w:pos="4536"/>
        <w:tab w:val="right" w:pos="9072"/>
      </w:tabs>
      <w:spacing w:after="0"/>
    </w:pPr>
  </w:style>
  <w:style w:type="character" w:customStyle="1" w:styleId="PieddepageCar">
    <w:name w:val="Pied de page Car"/>
    <w:basedOn w:val="Policepardfaut"/>
    <w:link w:val="Pieddepage"/>
    <w:uiPriority w:val="99"/>
    <w:rsid w:val="00F5565F"/>
    <w:rPr>
      <w:rFonts w:ascii="Avenir Light" w:hAnsi="Avenir Light"/>
    </w:rPr>
  </w:style>
  <w:style w:type="paragraph" w:styleId="Textedebulles">
    <w:name w:val="Balloon Text"/>
    <w:basedOn w:val="Normal"/>
    <w:link w:val="TextedebullesCar"/>
    <w:uiPriority w:val="99"/>
    <w:semiHidden/>
    <w:unhideWhenUsed/>
    <w:rsid w:val="00F5565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5565F"/>
    <w:rPr>
      <w:rFonts w:ascii="Tahoma" w:hAnsi="Tahoma" w:cs="Tahoma"/>
      <w:sz w:val="16"/>
      <w:szCs w:val="16"/>
    </w:rPr>
  </w:style>
  <w:style w:type="paragraph" w:customStyle="1" w:styleId="WW-Default">
    <w:name w:val="WW-Default"/>
    <w:rsid w:val="00AB64D8"/>
    <w:pPr>
      <w:widowControl w:val="0"/>
      <w:suppressAutoHyphens/>
      <w:spacing w:after="0"/>
    </w:pPr>
    <w:rPr>
      <w:rFonts w:ascii="Times New Roman" w:eastAsia="ヒラギノ角ゴ Pro W3" w:hAnsi="Times New Roman" w:cs="Times New Roman"/>
      <w:color w:val="000000"/>
      <w:kern w:val="1"/>
      <w:szCs w:val="20"/>
      <w:lang w:eastAsia="ar-SA"/>
    </w:rPr>
  </w:style>
  <w:style w:type="paragraph" w:styleId="Sansinterligne">
    <w:name w:val="No Spacing"/>
    <w:uiPriority w:val="99"/>
    <w:qFormat/>
    <w:rsid w:val="009134CD"/>
    <w:pPr>
      <w:spacing w:after="0"/>
    </w:pPr>
    <w:rPr>
      <w:rFonts w:ascii="Avenir Light" w:hAnsi="Avenir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567453">
      <w:bodyDiv w:val="1"/>
      <w:marLeft w:val="0"/>
      <w:marRight w:val="0"/>
      <w:marTop w:val="0"/>
      <w:marBottom w:val="0"/>
      <w:divBdr>
        <w:top w:val="none" w:sz="0" w:space="0" w:color="auto"/>
        <w:left w:val="none" w:sz="0" w:space="0" w:color="auto"/>
        <w:bottom w:val="none" w:sz="0" w:space="0" w:color="auto"/>
        <w:right w:val="none" w:sz="0" w:space="0" w:color="auto"/>
      </w:divBdr>
    </w:div>
    <w:div w:id="19187864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2284</Words>
  <Characters>12562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Revolution Press</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Wong</dc:creator>
  <cp:lastModifiedBy>marketing@swiza.ch</cp:lastModifiedBy>
  <cp:revision>3</cp:revision>
  <dcterms:created xsi:type="dcterms:W3CDTF">2019-08-16T09:25:00Z</dcterms:created>
  <dcterms:modified xsi:type="dcterms:W3CDTF">2019-08-29T10:39:00Z</dcterms:modified>
</cp:coreProperties>
</file>